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47E0" w14:textId="47CACB19" w:rsidR="00E10F1C" w:rsidRDefault="00E10F1C" w:rsidP="00E10F1C">
      <w:pPr>
        <w:pStyle w:val="FLOverskrift10"/>
        <w:rPr>
          <w:lang w:val="en-GB"/>
        </w:rPr>
      </w:pPr>
      <w:r w:rsidRPr="00E10F1C">
        <w:rPr>
          <w:lang w:val="en-GB"/>
        </w:rPr>
        <w:t>Nordic Instructions for Nordic Article Numbers (Vnrs)</w:t>
      </w:r>
    </w:p>
    <w:p w14:paraId="4ECA5FC6" w14:textId="49DE658F" w:rsidR="00E10F1C" w:rsidRDefault="00E10F1C" w:rsidP="00E10F1C">
      <w:pPr>
        <w:pStyle w:val="FLOverskrift10"/>
        <w:rPr>
          <w:lang w:val="en-GB"/>
        </w:rPr>
      </w:pPr>
      <w:r w:rsidRPr="00E10F1C">
        <w:rPr>
          <w:lang w:val="en-GB"/>
        </w:rPr>
        <w:t>Supplementary information – Norway</w:t>
      </w:r>
    </w:p>
    <w:p w14:paraId="4F7618DA" w14:textId="56FFF7F4" w:rsidR="00E10F1C" w:rsidRDefault="00E10F1C" w:rsidP="00E10F1C">
      <w:pPr>
        <w:pStyle w:val="FLBody"/>
        <w:rPr>
          <w:lang w:val="en-GB"/>
        </w:rPr>
      </w:pPr>
      <w:r w:rsidRPr="00E10F1C">
        <w:rPr>
          <w:lang w:val="en-GB"/>
        </w:rPr>
        <w:t>This document presents an overview on the handling of Vnrs (Varenummer/article number</w:t>
      </w:r>
      <w:r w:rsidR="000F3E17" w:rsidRPr="00E10F1C">
        <w:rPr>
          <w:lang w:val="en-GB"/>
        </w:rPr>
        <w:t>),</w:t>
      </w:r>
      <w:r w:rsidRPr="00E10F1C">
        <w:rPr>
          <w:lang w:val="en-GB"/>
        </w:rPr>
        <w:t xml:space="preserve"> and information carried by the Vnr in Norway. Some supplementary information on issues addressed in the common Nordic regulatory framework is also presented, mainly concerning changes to a marketed Vnr.</w:t>
      </w:r>
    </w:p>
    <w:p w14:paraId="36EEBDA4" w14:textId="0D01CC27" w:rsidR="00E10F1C" w:rsidRDefault="00E10F1C" w:rsidP="00E10F1C">
      <w:pPr>
        <w:pStyle w:val="FLBody"/>
        <w:rPr>
          <w:lang w:val="en-GB"/>
        </w:rPr>
      </w:pPr>
      <w:r w:rsidRPr="00E10F1C">
        <w:rPr>
          <w:lang w:val="en-GB"/>
        </w:rPr>
        <w:t xml:space="preserve">This document is prepared and maintained by Farmalogg AS. The Association of the Pharmaceutical Industry in Norway (LMI) is the national contracting party concerning the NNC (Nordic Number Centre, located </w:t>
      </w:r>
      <w:r w:rsidR="000F3E17" w:rsidRPr="000F3E17">
        <w:rPr>
          <w:lang w:val="en-GB"/>
        </w:rPr>
        <w:t>Pharmaca Health Intelligence Oy</w:t>
      </w:r>
      <w:r w:rsidRPr="00E10F1C">
        <w:rPr>
          <w:lang w:val="en-GB"/>
        </w:rPr>
        <w:t xml:space="preserve">, Finland) and the Nordic regulatory framework.  </w:t>
      </w:r>
    </w:p>
    <w:p w14:paraId="6C210108" w14:textId="77777777" w:rsidR="00E10F1C" w:rsidRDefault="00E10F1C" w:rsidP="00E10F1C">
      <w:pPr>
        <w:pStyle w:val="FLOverskrift2"/>
        <w:rPr>
          <w:lang w:val="en-GB"/>
        </w:rPr>
      </w:pPr>
      <w:r w:rsidRPr="00E10F1C">
        <w:rPr>
          <w:lang w:val="en-GB"/>
        </w:rPr>
        <w:t xml:space="preserve">1. The flow of article information </w:t>
      </w:r>
    </w:p>
    <w:p w14:paraId="4D4B5394" w14:textId="4E96FF24" w:rsidR="00E10F1C" w:rsidRDefault="00E10F1C" w:rsidP="006D733E">
      <w:pPr>
        <w:pStyle w:val="FLBody"/>
        <w:rPr>
          <w:lang w:val="en-GB"/>
        </w:rPr>
      </w:pPr>
      <w:r w:rsidRPr="00E10F1C">
        <w:rPr>
          <w:lang w:val="en-GB"/>
        </w:rPr>
        <w:t xml:space="preserve">Vareregisteret is the entry point for all new products in the Norwegian market. Vareregisteret is a common, national article register for all Norwegian pharmacies and pharmaceutical wholesalers in Norway. The register includes with few exceptions </w:t>
      </w:r>
      <w:r w:rsidRPr="000F3E17">
        <w:rPr>
          <w:i/>
          <w:iCs/>
          <w:lang w:val="en-GB"/>
        </w:rPr>
        <w:t>all</w:t>
      </w:r>
      <w:r w:rsidRPr="00E10F1C">
        <w:rPr>
          <w:lang w:val="en-GB"/>
        </w:rPr>
        <w:t xml:space="preserve"> products sold through </w:t>
      </w:r>
      <w:r w:rsidR="00C0366C" w:rsidRPr="00E10F1C">
        <w:rPr>
          <w:lang w:val="en-GB"/>
        </w:rPr>
        <w:t>pharmacies and</w:t>
      </w:r>
      <w:r w:rsidRPr="00E10F1C">
        <w:rPr>
          <w:lang w:val="en-GB"/>
        </w:rPr>
        <w:t xml:space="preserve"> contains information necessary for a safe and efficient handling and dispensing of the products from manufacturer/supplier, via wholesaler and retailer, to consumer. Vareregisteret is maintained by Farmalogg AS, a joint stock company owned by the Norwegian Pharmacy Association. </w:t>
      </w:r>
    </w:p>
    <w:p w14:paraId="2849BD7F" w14:textId="710EE904" w:rsidR="00E10F1C" w:rsidRDefault="00E10F1C" w:rsidP="006D733E">
      <w:pPr>
        <w:pStyle w:val="FLBody"/>
        <w:rPr>
          <w:lang w:val="en-GB"/>
        </w:rPr>
      </w:pPr>
      <w:r w:rsidRPr="00E10F1C">
        <w:rPr>
          <w:lang w:val="en-GB"/>
        </w:rPr>
        <w:t>The operation of Vareregisteret is carried out by Farmalogg in cooperation with N</w:t>
      </w:r>
      <w:r w:rsidR="00C0366C">
        <w:rPr>
          <w:lang w:val="en-GB"/>
        </w:rPr>
        <w:t>O</w:t>
      </w:r>
      <w:r w:rsidRPr="00E10F1C">
        <w:rPr>
          <w:lang w:val="en-GB"/>
        </w:rPr>
        <w:t>MA (Norwegian Medic</w:t>
      </w:r>
      <w:r w:rsidR="00C0366C">
        <w:rPr>
          <w:lang w:val="en-GB"/>
        </w:rPr>
        <w:t>al Products</w:t>
      </w:r>
      <w:r w:rsidRPr="00E10F1C">
        <w:rPr>
          <w:lang w:val="en-GB"/>
        </w:rPr>
        <w:t xml:space="preserve"> Agency), H</w:t>
      </w:r>
      <w:r w:rsidR="00C0366C">
        <w:rPr>
          <w:lang w:val="en-GB"/>
        </w:rPr>
        <w:t>elfo</w:t>
      </w:r>
      <w:r w:rsidRPr="00E10F1C">
        <w:rPr>
          <w:lang w:val="en-GB"/>
        </w:rPr>
        <w:t xml:space="preserve"> (The Norwegian Health Economics Administration), WHOCC (WHO Collaborating Centre for Drugs Statistics Methodology) and the pharmaceutical wholesalers. The information on the products listed in Vareregisteret is processed on data files exchanged between these partners twice a month.</w:t>
      </w:r>
    </w:p>
    <w:p w14:paraId="32D19F97" w14:textId="07C14AFB" w:rsidR="00E10F1C" w:rsidRDefault="00E10F1C" w:rsidP="006D733E">
      <w:pPr>
        <w:pStyle w:val="FLBody"/>
        <w:rPr>
          <w:lang w:val="en-GB"/>
        </w:rPr>
      </w:pPr>
      <w:r w:rsidRPr="00E10F1C">
        <w:rPr>
          <w:lang w:val="en-GB"/>
        </w:rPr>
        <w:t>FEST, maintained by N</w:t>
      </w:r>
      <w:r w:rsidR="00C0366C">
        <w:rPr>
          <w:lang w:val="en-GB"/>
        </w:rPr>
        <w:t>O</w:t>
      </w:r>
      <w:r w:rsidRPr="00E10F1C">
        <w:rPr>
          <w:lang w:val="en-GB"/>
        </w:rPr>
        <w:t>MA, is a national database with all articles available for prescription in Norway, both first line- and specialized medicine (GPs, specialists, hospitals). FEST is available for the various systems for prescribing / EPJ (ElectronicPatientJournal). FEST is updated with information from Vareregisteret. Information from FEST, including information from the reimbursement system (H</w:t>
      </w:r>
      <w:r w:rsidR="00C0366C">
        <w:rPr>
          <w:lang w:val="en-GB"/>
        </w:rPr>
        <w:t>elfo</w:t>
      </w:r>
      <w:r w:rsidRPr="00E10F1C">
        <w:rPr>
          <w:lang w:val="en-GB"/>
        </w:rPr>
        <w:t>), is included in Vareregisteret.</w:t>
      </w:r>
    </w:p>
    <w:p w14:paraId="685D638B" w14:textId="72704720" w:rsidR="005D567D" w:rsidRDefault="00E10F1C" w:rsidP="006D733E">
      <w:pPr>
        <w:pStyle w:val="FLBody"/>
        <w:rPr>
          <w:lang w:val="en-GB"/>
        </w:rPr>
      </w:pPr>
      <w:r w:rsidRPr="00E10F1C">
        <w:rPr>
          <w:lang w:val="en-GB"/>
        </w:rPr>
        <w:t xml:space="preserve">The management of the exchange of product information via FEST is essential for the coordination of information in the prescribing- and dispensing systems. This coordination is a prerequisite for the national system for electronic prescription. All information in the databases is carried by the Vnr, both the </w:t>
      </w:r>
      <w:r w:rsidRPr="00C0366C">
        <w:rPr>
          <w:i/>
          <w:iCs/>
          <w:lang w:val="en-GB"/>
        </w:rPr>
        <w:t>Nordic article numbers</w:t>
      </w:r>
      <w:r w:rsidRPr="00E10F1C">
        <w:rPr>
          <w:lang w:val="en-GB"/>
        </w:rPr>
        <w:t xml:space="preserve"> and </w:t>
      </w:r>
      <w:r w:rsidR="00777E11">
        <w:rPr>
          <w:i/>
          <w:iCs/>
          <w:lang w:val="en-GB"/>
        </w:rPr>
        <w:t>N</w:t>
      </w:r>
      <w:r w:rsidRPr="00C0366C">
        <w:rPr>
          <w:i/>
          <w:iCs/>
          <w:lang w:val="en-GB"/>
        </w:rPr>
        <w:t>ational article numbers</w:t>
      </w:r>
      <w:r w:rsidRPr="00E10F1C">
        <w:rPr>
          <w:lang w:val="en-GB"/>
        </w:rPr>
        <w:t>, as the identifier. Fig</w:t>
      </w:r>
      <w:r w:rsidR="006D733E">
        <w:rPr>
          <w:lang w:val="en-GB"/>
        </w:rPr>
        <w:t>.</w:t>
      </w:r>
      <w:r w:rsidRPr="00E10F1C">
        <w:rPr>
          <w:lang w:val="en-GB"/>
        </w:rPr>
        <w:t xml:space="preserve"> 1 gives an outline of the flow of information on medicines in Norway.</w:t>
      </w:r>
    </w:p>
    <w:p w14:paraId="4A11FF37" w14:textId="77777777" w:rsidR="006D733E" w:rsidRDefault="006D733E" w:rsidP="006D733E">
      <w:pPr>
        <w:pStyle w:val="FLBody"/>
        <w:keepNext/>
        <w:spacing w:after="0"/>
      </w:pPr>
      <w:r>
        <w:rPr>
          <w:noProof/>
        </w:rPr>
        <w:lastRenderedPageBreak/>
        <w:drawing>
          <wp:inline distT="0" distB="0" distL="0" distR="0" wp14:anchorId="38FFFC18" wp14:editId="4174AE09">
            <wp:extent cx="5325465" cy="2824431"/>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l="4190" t="12863" r="3357"/>
                    <a:stretch/>
                  </pic:blipFill>
                  <pic:spPr bwMode="auto">
                    <a:xfrm>
                      <a:off x="0" y="0"/>
                      <a:ext cx="5325980" cy="2824704"/>
                    </a:xfrm>
                    <a:prstGeom prst="rect">
                      <a:avLst/>
                    </a:prstGeom>
                    <a:noFill/>
                    <a:ln>
                      <a:noFill/>
                    </a:ln>
                    <a:extLst>
                      <a:ext uri="{53640926-AAD7-44D8-BBD7-CCE9431645EC}">
                        <a14:shadowObscured xmlns:a14="http://schemas.microsoft.com/office/drawing/2010/main"/>
                      </a:ext>
                    </a:extLst>
                  </pic:spPr>
                </pic:pic>
              </a:graphicData>
            </a:graphic>
          </wp:inline>
        </w:drawing>
      </w:r>
    </w:p>
    <w:p w14:paraId="727B1878" w14:textId="3207E10F" w:rsidR="00E10F1C" w:rsidRPr="006D733E" w:rsidRDefault="006D733E" w:rsidP="006D733E">
      <w:pPr>
        <w:pStyle w:val="Caption"/>
        <w:rPr>
          <w:rFonts w:asciiTheme="minorHAnsi" w:hAnsiTheme="minorHAnsi" w:cstheme="minorHAnsi"/>
          <w:lang w:val="en-GB"/>
        </w:rPr>
      </w:pPr>
      <w:r w:rsidRPr="006D733E">
        <w:rPr>
          <w:rFonts w:asciiTheme="minorHAnsi" w:hAnsiTheme="minorHAnsi" w:cstheme="minorHAnsi"/>
          <w:lang w:val="en-GB"/>
        </w:rPr>
        <w:t xml:space="preserve">Fig. </w:t>
      </w:r>
      <w:r w:rsidRPr="006D733E">
        <w:rPr>
          <w:rFonts w:asciiTheme="minorHAnsi" w:hAnsiTheme="minorHAnsi" w:cstheme="minorHAnsi"/>
        </w:rPr>
        <w:fldChar w:fldCharType="begin"/>
      </w:r>
      <w:r w:rsidRPr="006D733E">
        <w:rPr>
          <w:rFonts w:asciiTheme="minorHAnsi" w:hAnsiTheme="minorHAnsi" w:cstheme="minorHAnsi"/>
          <w:lang w:val="en-GB"/>
        </w:rPr>
        <w:instrText xml:space="preserve"> SEQ Fig. \* ARABIC </w:instrText>
      </w:r>
      <w:r w:rsidRPr="006D733E">
        <w:rPr>
          <w:rFonts w:asciiTheme="minorHAnsi" w:hAnsiTheme="minorHAnsi" w:cstheme="minorHAnsi"/>
        </w:rPr>
        <w:fldChar w:fldCharType="separate"/>
      </w:r>
      <w:r w:rsidRPr="006D733E">
        <w:rPr>
          <w:rFonts w:asciiTheme="minorHAnsi" w:hAnsiTheme="minorHAnsi" w:cstheme="minorHAnsi"/>
          <w:noProof/>
          <w:lang w:val="en-GB"/>
        </w:rPr>
        <w:t>1</w:t>
      </w:r>
      <w:r w:rsidRPr="006D733E">
        <w:rPr>
          <w:rFonts w:asciiTheme="minorHAnsi" w:hAnsiTheme="minorHAnsi" w:cstheme="minorHAnsi"/>
        </w:rPr>
        <w:fldChar w:fldCharType="end"/>
      </w:r>
    </w:p>
    <w:p w14:paraId="563C60A0" w14:textId="2A45E507" w:rsidR="00E10F1C" w:rsidRDefault="00E10F1C" w:rsidP="00E10F1C">
      <w:pPr>
        <w:pStyle w:val="FLOverskrift2"/>
        <w:rPr>
          <w:lang w:val="en-GB"/>
        </w:rPr>
      </w:pPr>
      <w:r w:rsidRPr="00E10F1C">
        <w:rPr>
          <w:lang w:val="en-GB"/>
        </w:rPr>
        <w:t>2. Vnr - the carrier of information</w:t>
      </w:r>
    </w:p>
    <w:p w14:paraId="5A31199D" w14:textId="3857F9AF" w:rsidR="00E10F1C" w:rsidRDefault="00E10F1C" w:rsidP="00E10F1C">
      <w:pPr>
        <w:pStyle w:val="FLBody"/>
        <w:rPr>
          <w:lang w:val="en-GB"/>
        </w:rPr>
      </w:pPr>
      <w:r w:rsidRPr="00E10F1C">
        <w:rPr>
          <w:lang w:val="en-GB"/>
        </w:rPr>
        <w:t>The information flow (fig</w:t>
      </w:r>
      <w:r w:rsidR="006D733E">
        <w:rPr>
          <w:lang w:val="en-GB"/>
        </w:rPr>
        <w:t>.</w:t>
      </w:r>
      <w:r w:rsidRPr="00E10F1C">
        <w:rPr>
          <w:lang w:val="en-GB"/>
        </w:rPr>
        <w:t xml:space="preserve"> 1) is based on the Vnr as identity and carrier of all information for prescription and dispensing in Norway. The Vnrs carry information to facilitate the handling of the products and as a structural basis for drug statistics.</w:t>
      </w:r>
    </w:p>
    <w:p w14:paraId="40594281" w14:textId="3453C384" w:rsidR="00E10F1C" w:rsidRDefault="00E10F1C" w:rsidP="00E10F1C">
      <w:pPr>
        <w:pStyle w:val="FLBody"/>
        <w:rPr>
          <w:lang w:val="en-GB"/>
        </w:rPr>
      </w:pPr>
      <w:r w:rsidRPr="00E10F1C">
        <w:rPr>
          <w:lang w:val="en-GB"/>
        </w:rPr>
        <w:t xml:space="preserve">The stakeholders/operators receive customized updates from Farmalogg or </w:t>
      </w:r>
      <w:r w:rsidR="006D733E">
        <w:rPr>
          <w:lang w:val="en-GB"/>
        </w:rPr>
        <w:t>NO</w:t>
      </w:r>
      <w:r w:rsidRPr="00E10F1C">
        <w:rPr>
          <w:lang w:val="en-GB"/>
        </w:rPr>
        <w:t xml:space="preserve">MA as they may use different information elements linked to the Vnr or in some cases add their own elements. Some </w:t>
      </w:r>
      <w:r w:rsidR="006D733E">
        <w:rPr>
          <w:lang w:val="en-GB"/>
        </w:rPr>
        <w:t xml:space="preserve">of the </w:t>
      </w:r>
      <w:r w:rsidRPr="00E10F1C">
        <w:rPr>
          <w:lang w:val="en-GB"/>
        </w:rPr>
        <w:t xml:space="preserve">information elements </w:t>
      </w:r>
      <w:r w:rsidR="006D733E">
        <w:rPr>
          <w:lang w:val="en-GB"/>
        </w:rPr>
        <w:t xml:space="preserve">that </w:t>
      </w:r>
      <w:r w:rsidRPr="00E10F1C">
        <w:rPr>
          <w:lang w:val="en-GB"/>
        </w:rPr>
        <w:t>are coordinated between the systems</w:t>
      </w:r>
      <w:r w:rsidR="006D733E">
        <w:rPr>
          <w:lang w:val="en-GB"/>
        </w:rPr>
        <w:t>,</w:t>
      </w:r>
      <w:r w:rsidRPr="00E10F1C">
        <w:rPr>
          <w:lang w:val="en-GB"/>
        </w:rPr>
        <w:t xml:space="preserve"> are used by most operators. Information on pricing and reimbursement provided by N</w:t>
      </w:r>
      <w:r w:rsidR="006D733E">
        <w:rPr>
          <w:lang w:val="en-GB"/>
        </w:rPr>
        <w:t>O</w:t>
      </w:r>
      <w:r w:rsidRPr="00E10F1C">
        <w:rPr>
          <w:lang w:val="en-GB"/>
        </w:rPr>
        <w:t>MA and H</w:t>
      </w:r>
      <w:r w:rsidR="006D733E">
        <w:rPr>
          <w:lang w:val="en-GB"/>
        </w:rPr>
        <w:t>elfo</w:t>
      </w:r>
      <w:r w:rsidRPr="00E10F1C">
        <w:rPr>
          <w:lang w:val="en-GB"/>
        </w:rPr>
        <w:t xml:space="preserve"> is used by many operators, </w:t>
      </w:r>
      <w:r w:rsidR="006D733E">
        <w:rPr>
          <w:lang w:val="en-GB"/>
        </w:rPr>
        <w:t>where</w:t>
      </w:r>
      <w:r w:rsidRPr="00E10F1C">
        <w:rPr>
          <w:lang w:val="en-GB"/>
        </w:rPr>
        <w:t>as</w:t>
      </w:r>
      <w:r w:rsidR="006D733E">
        <w:rPr>
          <w:lang w:val="en-GB"/>
        </w:rPr>
        <w:t xml:space="preserve"> </w:t>
      </w:r>
      <w:r w:rsidRPr="00E10F1C">
        <w:rPr>
          <w:lang w:val="en-GB"/>
        </w:rPr>
        <w:t>information on shelf life, storage and transportation mainly concern</w:t>
      </w:r>
      <w:r w:rsidR="00494B09">
        <w:rPr>
          <w:lang w:val="en-GB"/>
        </w:rPr>
        <w:t>s</w:t>
      </w:r>
      <w:r w:rsidRPr="00E10F1C">
        <w:rPr>
          <w:lang w:val="en-GB"/>
        </w:rPr>
        <w:t xml:space="preserve"> the wholesalers. Farmalogg add</w:t>
      </w:r>
      <w:r w:rsidR="00494B09">
        <w:rPr>
          <w:lang w:val="en-GB"/>
        </w:rPr>
        <w:t>s</w:t>
      </w:r>
      <w:r w:rsidRPr="00E10F1C">
        <w:rPr>
          <w:lang w:val="en-GB"/>
        </w:rPr>
        <w:t xml:space="preserve"> different types of information to the Vnrs for specific operators, </w:t>
      </w:r>
      <w:r w:rsidR="00494B09">
        <w:rPr>
          <w:lang w:val="en-GB"/>
        </w:rPr>
        <w:t xml:space="preserve">such </w:t>
      </w:r>
      <w:r w:rsidRPr="00E10F1C">
        <w:rPr>
          <w:lang w:val="en-GB"/>
        </w:rPr>
        <w:t>as predefined labelling choices added for the pharmacies</w:t>
      </w:r>
      <w:r w:rsidR="00494B09">
        <w:rPr>
          <w:lang w:val="en-GB"/>
        </w:rPr>
        <w:t xml:space="preserve"> and</w:t>
      </w:r>
      <w:r w:rsidRPr="00E10F1C">
        <w:rPr>
          <w:lang w:val="en-GB"/>
        </w:rPr>
        <w:t xml:space="preserve"> subcategories for statistical use in addition to the statistical information provided by WHOCC.</w:t>
      </w:r>
    </w:p>
    <w:p w14:paraId="30259929" w14:textId="2074EA9D" w:rsidR="00E10F1C" w:rsidRDefault="00E10F1C" w:rsidP="00E10F1C">
      <w:pPr>
        <w:pStyle w:val="FLBody"/>
        <w:rPr>
          <w:lang w:val="en-GB"/>
        </w:rPr>
      </w:pPr>
      <w:r w:rsidRPr="00E10F1C">
        <w:rPr>
          <w:lang w:val="en-GB"/>
        </w:rPr>
        <w:t>Regardless of type of information element, it is of paramount importance to ensure that the Vnr represents a unique identity as defined by the Nordic instructions. As the Vnrs carry information for different functions, changes must be handled with great care to avoid mix-ups.</w:t>
      </w:r>
    </w:p>
    <w:p w14:paraId="5C549B13" w14:textId="74DF4E1C" w:rsidR="00E10F1C" w:rsidRDefault="00E10F1C" w:rsidP="00E10F1C">
      <w:pPr>
        <w:pStyle w:val="FLOverskrift2"/>
        <w:rPr>
          <w:lang w:val="en-GB"/>
        </w:rPr>
      </w:pPr>
      <w:r w:rsidRPr="00E10F1C">
        <w:rPr>
          <w:lang w:val="en-GB"/>
        </w:rPr>
        <w:t>3. Changes to a</w:t>
      </w:r>
      <w:r w:rsidR="0039699F">
        <w:rPr>
          <w:lang w:val="en-GB"/>
        </w:rPr>
        <w:t xml:space="preserve"> marketed</w:t>
      </w:r>
      <w:r w:rsidRPr="00E10F1C">
        <w:rPr>
          <w:lang w:val="en-GB"/>
        </w:rPr>
        <w:t xml:space="preserve"> Vnr</w:t>
      </w:r>
    </w:p>
    <w:p w14:paraId="5F75F890" w14:textId="4F68BFEE" w:rsidR="00E10F1C" w:rsidRDefault="00E10F1C" w:rsidP="00E10F1C">
      <w:pPr>
        <w:pStyle w:val="FLBody"/>
        <w:rPr>
          <w:lang w:val="en-GB"/>
        </w:rPr>
      </w:pPr>
      <w:r w:rsidRPr="00E10F1C">
        <w:rPr>
          <w:lang w:val="en-GB"/>
        </w:rPr>
        <w:t>For the common Nordic regulatory framework on changes, see Nordic Instructions. On the topics of changes in the Nordic Instructions, please note the following elaborations:</w:t>
      </w:r>
    </w:p>
    <w:p w14:paraId="290A5C09" w14:textId="42FDBF83" w:rsidR="00E10F1C" w:rsidRDefault="00E10F1C" w:rsidP="00494B09">
      <w:pPr>
        <w:pStyle w:val="FLBody"/>
        <w:spacing w:after="120"/>
        <w:rPr>
          <w:lang w:val="en-GB"/>
        </w:rPr>
      </w:pPr>
      <w:r w:rsidRPr="00494B09">
        <w:rPr>
          <w:rStyle w:val="FLOverskrift3Tegn0"/>
          <w:lang w:val="en-GB"/>
        </w:rPr>
        <w:t>Change of trade name</w:t>
      </w:r>
    </w:p>
    <w:p w14:paraId="0D3BADF6" w14:textId="28F20DC8" w:rsidR="00E10F1C" w:rsidRDefault="00E10F1C" w:rsidP="00E10F1C">
      <w:pPr>
        <w:pStyle w:val="FLBody"/>
        <w:rPr>
          <w:lang w:val="en-GB"/>
        </w:rPr>
      </w:pPr>
      <w:r w:rsidRPr="00E10F1C">
        <w:rPr>
          <w:lang w:val="en-GB"/>
        </w:rPr>
        <w:t xml:space="preserve">Any change of trade </w:t>
      </w:r>
      <w:r w:rsidR="0039699F">
        <w:rPr>
          <w:lang w:val="en-GB"/>
        </w:rPr>
        <w:t>name</w:t>
      </w:r>
      <w:r w:rsidRPr="00E10F1C">
        <w:rPr>
          <w:lang w:val="en-GB"/>
        </w:rPr>
        <w:t xml:space="preserve"> should be followed by a new Vnr. Adjustments or minor changes in the name may be allowed as long as the product appears principally unchanged.</w:t>
      </w:r>
    </w:p>
    <w:p w14:paraId="5C89FBFE" w14:textId="69076A26" w:rsidR="00E10F1C" w:rsidRDefault="00E10F1C" w:rsidP="00494B09">
      <w:pPr>
        <w:pStyle w:val="FLOverskrift30"/>
        <w:spacing w:before="0" w:after="120"/>
        <w:outlineLvl w:val="9"/>
        <w:rPr>
          <w:lang w:val="en-GB"/>
        </w:rPr>
      </w:pPr>
      <w:r w:rsidRPr="00E10F1C">
        <w:rPr>
          <w:lang w:val="en-GB"/>
        </w:rPr>
        <w:lastRenderedPageBreak/>
        <w:t>Change of package type</w:t>
      </w:r>
    </w:p>
    <w:p w14:paraId="5ADC7212" w14:textId="1D0CA182" w:rsidR="00E10F1C" w:rsidRDefault="00A10945" w:rsidP="00E10F1C">
      <w:pPr>
        <w:pStyle w:val="FLBody"/>
        <w:rPr>
          <w:lang w:val="en-GB"/>
        </w:rPr>
      </w:pPr>
      <w:r>
        <w:rPr>
          <w:lang w:val="en-GB"/>
        </w:rPr>
        <w:t>C</w:t>
      </w:r>
      <w:r w:rsidR="00E10F1C" w:rsidRPr="00E10F1C">
        <w:rPr>
          <w:lang w:val="en-GB"/>
        </w:rPr>
        <w:t xml:space="preserve">hange of package type, </w:t>
      </w:r>
      <w:r w:rsidR="0039699F" w:rsidRPr="00E10F1C">
        <w:rPr>
          <w:lang w:val="en-GB"/>
        </w:rPr>
        <w:t>e.g.</w:t>
      </w:r>
      <w:r w:rsidR="00E10F1C" w:rsidRPr="00E10F1C">
        <w:rPr>
          <w:lang w:val="en-GB"/>
        </w:rPr>
        <w:t xml:space="preserve"> from blister to container, </w:t>
      </w:r>
      <w:r>
        <w:rPr>
          <w:lang w:val="en-GB"/>
        </w:rPr>
        <w:t>requires</w:t>
      </w:r>
      <w:r w:rsidR="00E10F1C" w:rsidRPr="00E10F1C">
        <w:rPr>
          <w:lang w:val="en-GB"/>
        </w:rPr>
        <w:t xml:space="preserve"> a new Vnr. </w:t>
      </w:r>
      <w:r>
        <w:rPr>
          <w:lang w:val="en-GB"/>
        </w:rPr>
        <w:t xml:space="preserve">For changes to </w:t>
      </w:r>
      <w:r w:rsidRPr="00A10945">
        <w:rPr>
          <w:i/>
          <w:iCs/>
          <w:lang w:val="en-GB"/>
        </w:rPr>
        <w:t>p</w:t>
      </w:r>
      <w:r w:rsidR="00E10F1C" w:rsidRPr="000F3E17">
        <w:rPr>
          <w:i/>
          <w:iCs/>
          <w:lang w:val="en-GB"/>
        </w:rPr>
        <w:t>ackage materials</w:t>
      </w:r>
      <w:r w:rsidR="00E10F1C" w:rsidRPr="00E10F1C">
        <w:rPr>
          <w:lang w:val="en-GB"/>
        </w:rPr>
        <w:t xml:space="preserve"> </w:t>
      </w:r>
      <w:r>
        <w:rPr>
          <w:lang w:val="en-GB"/>
        </w:rPr>
        <w:t>with</w:t>
      </w:r>
      <w:r w:rsidR="00E10F1C" w:rsidRPr="00E10F1C">
        <w:rPr>
          <w:lang w:val="en-GB"/>
        </w:rPr>
        <w:t xml:space="preserve"> no impact on pricing, the Vnr can be kept. The register distinguishes between ordinary blisterpack and unitdose blisterpacks to facilitate handling in hospitals and hospital pharmacies. </w:t>
      </w:r>
    </w:p>
    <w:p w14:paraId="66A5B7EE" w14:textId="77777777" w:rsidR="00E10F1C" w:rsidRDefault="00E10F1C" w:rsidP="00494B09">
      <w:pPr>
        <w:pStyle w:val="FLBody"/>
        <w:spacing w:after="120"/>
        <w:rPr>
          <w:lang w:val="en-GB"/>
        </w:rPr>
      </w:pPr>
      <w:r w:rsidRPr="0005328A">
        <w:rPr>
          <w:rStyle w:val="FLOverskrift3Tegn0"/>
          <w:lang w:val="en-GB"/>
        </w:rPr>
        <w:t>Change of prescription group for medicines with MA</w:t>
      </w:r>
      <w:r w:rsidRPr="00E10F1C">
        <w:rPr>
          <w:lang w:val="en-GB"/>
        </w:rPr>
        <w:t xml:space="preserve"> </w:t>
      </w:r>
    </w:p>
    <w:p w14:paraId="2BF4B734" w14:textId="4A1E07CF" w:rsidR="00E10F1C" w:rsidRDefault="00E10F1C" w:rsidP="00E10F1C">
      <w:pPr>
        <w:pStyle w:val="FLBody"/>
        <w:rPr>
          <w:lang w:val="en-GB"/>
        </w:rPr>
      </w:pPr>
      <w:r w:rsidRPr="00E10F1C">
        <w:rPr>
          <w:lang w:val="en-GB"/>
        </w:rPr>
        <w:t xml:space="preserve">When changing the prescription group from C (prescription) to F (non-prescription), a new </w:t>
      </w:r>
      <w:r w:rsidR="00A10945">
        <w:rPr>
          <w:lang w:val="en-GB"/>
        </w:rPr>
        <w:t>Vnr</w:t>
      </w:r>
      <w:r w:rsidRPr="00E10F1C">
        <w:rPr>
          <w:lang w:val="en-GB"/>
        </w:rPr>
        <w:t xml:space="preserve"> is required. The package must be approved by the N</w:t>
      </w:r>
      <w:r w:rsidR="00A10945">
        <w:rPr>
          <w:lang w:val="en-GB"/>
        </w:rPr>
        <w:t>O</w:t>
      </w:r>
      <w:r w:rsidRPr="00E10F1C">
        <w:rPr>
          <w:lang w:val="en-GB"/>
        </w:rPr>
        <w:t>MA if the prescription group is to be changed from C to F.</w:t>
      </w:r>
    </w:p>
    <w:p w14:paraId="34CCCDD2" w14:textId="452BE972" w:rsidR="00E10F1C" w:rsidRDefault="00A10945" w:rsidP="00E10F1C">
      <w:pPr>
        <w:pStyle w:val="FLBody"/>
        <w:rPr>
          <w:lang w:val="en-GB"/>
        </w:rPr>
      </w:pPr>
      <w:r w:rsidRPr="00E10F1C">
        <w:rPr>
          <w:lang w:val="en-GB"/>
        </w:rPr>
        <w:t xml:space="preserve">When changing the prescription group from </w:t>
      </w:r>
      <w:r>
        <w:rPr>
          <w:lang w:val="en-GB"/>
        </w:rPr>
        <w:t>F</w:t>
      </w:r>
      <w:r w:rsidRPr="00E10F1C">
        <w:rPr>
          <w:lang w:val="en-GB"/>
        </w:rPr>
        <w:t xml:space="preserve"> to </w:t>
      </w:r>
      <w:r>
        <w:rPr>
          <w:lang w:val="en-GB"/>
        </w:rPr>
        <w:t>C</w:t>
      </w:r>
      <w:r w:rsidRPr="00E10F1C">
        <w:rPr>
          <w:lang w:val="en-GB"/>
        </w:rPr>
        <w:t xml:space="preserve">, a new </w:t>
      </w:r>
      <w:r>
        <w:rPr>
          <w:lang w:val="en-GB"/>
        </w:rPr>
        <w:t>Vnr</w:t>
      </w:r>
      <w:r w:rsidRPr="00E10F1C">
        <w:rPr>
          <w:lang w:val="en-GB"/>
        </w:rPr>
        <w:t xml:space="preserve"> is </w:t>
      </w:r>
      <w:r>
        <w:rPr>
          <w:lang w:val="en-GB"/>
        </w:rPr>
        <w:t xml:space="preserve">normally </w:t>
      </w:r>
      <w:r w:rsidRPr="00E10F1C">
        <w:rPr>
          <w:lang w:val="en-GB"/>
        </w:rPr>
        <w:t>required</w:t>
      </w:r>
      <w:r>
        <w:rPr>
          <w:lang w:val="en-GB"/>
        </w:rPr>
        <w:t xml:space="preserve"> due to logistic and medicine statistic</w:t>
      </w:r>
      <w:r w:rsidR="009B3E9B">
        <w:rPr>
          <w:lang w:val="en-GB"/>
        </w:rPr>
        <w:t xml:space="preserve"> requirements</w:t>
      </w:r>
      <w:r w:rsidRPr="00E10F1C">
        <w:rPr>
          <w:lang w:val="en-GB"/>
        </w:rPr>
        <w:t>.</w:t>
      </w:r>
      <w:r>
        <w:rPr>
          <w:lang w:val="en-GB"/>
        </w:rPr>
        <w:t xml:space="preserve"> </w:t>
      </w:r>
      <w:r w:rsidR="00E10F1C" w:rsidRPr="00E10F1C">
        <w:rPr>
          <w:lang w:val="en-GB"/>
        </w:rPr>
        <w:t>With respect to medicine statistics, it is required to differentiate between prescription and non-prescription sales.</w:t>
      </w:r>
    </w:p>
    <w:p w14:paraId="3EF22A2D" w14:textId="29608EFD" w:rsidR="00E10F1C" w:rsidRDefault="00E10F1C" w:rsidP="00494B09">
      <w:pPr>
        <w:pStyle w:val="FLOverskrift30"/>
        <w:spacing w:before="0" w:after="120"/>
        <w:outlineLvl w:val="9"/>
        <w:rPr>
          <w:lang w:val="en-GB"/>
        </w:rPr>
      </w:pPr>
      <w:r w:rsidRPr="00E10F1C">
        <w:rPr>
          <w:lang w:val="en-GB"/>
        </w:rPr>
        <w:t>Notification of change</w:t>
      </w:r>
    </w:p>
    <w:p w14:paraId="790AAC5C" w14:textId="592099F3" w:rsidR="00082F87" w:rsidRDefault="00082F87" w:rsidP="00E10F1C">
      <w:pPr>
        <w:pStyle w:val="FLBody"/>
        <w:rPr>
          <w:lang w:val="en-GB"/>
        </w:rPr>
      </w:pPr>
      <w:r w:rsidRPr="00E10F1C">
        <w:rPr>
          <w:lang w:val="en-GB"/>
        </w:rPr>
        <w:t>The pharmaceutical company must notify Farmalogg on changes to information elements maintained by Farmalogg. A guideline on what information the company must communicate is available at farmalogg.no after logging in.</w:t>
      </w:r>
    </w:p>
    <w:p w14:paraId="6D5E8EB8" w14:textId="182E6086" w:rsidR="00E10F1C" w:rsidRDefault="00082F87" w:rsidP="00E10F1C">
      <w:pPr>
        <w:pStyle w:val="FLBody"/>
        <w:rPr>
          <w:lang w:val="en-GB"/>
        </w:rPr>
      </w:pPr>
      <w:r>
        <w:rPr>
          <w:lang w:val="en-GB"/>
        </w:rPr>
        <w:t xml:space="preserve">There </w:t>
      </w:r>
      <w:r w:rsidR="00E10F1C" w:rsidRPr="00E10F1C">
        <w:rPr>
          <w:lang w:val="en-GB"/>
        </w:rPr>
        <w:t xml:space="preserve">is </w:t>
      </w:r>
      <w:r w:rsidR="00E10F1C" w:rsidRPr="00082F87">
        <w:rPr>
          <w:lang w:val="en-GB"/>
        </w:rPr>
        <w:t>no link</w:t>
      </w:r>
      <w:r w:rsidR="00E10F1C" w:rsidRPr="00E10F1C">
        <w:rPr>
          <w:lang w:val="en-GB"/>
        </w:rPr>
        <w:t xml:space="preserve"> between the systems for NNC and Vareregisteret. </w:t>
      </w:r>
      <w:r>
        <w:rPr>
          <w:lang w:val="en-GB"/>
        </w:rPr>
        <w:t>Thus, a</w:t>
      </w:r>
      <w:r w:rsidR="00E10F1C" w:rsidRPr="00E10F1C">
        <w:rPr>
          <w:lang w:val="en-GB"/>
        </w:rPr>
        <w:t xml:space="preserve">ny </w:t>
      </w:r>
      <w:r>
        <w:rPr>
          <w:lang w:val="en-GB"/>
        </w:rPr>
        <w:t xml:space="preserve">relevant </w:t>
      </w:r>
      <w:r w:rsidR="00E10F1C" w:rsidRPr="00E10F1C">
        <w:rPr>
          <w:lang w:val="en-GB"/>
        </w:rPr>
        <w:t>change</w:t>
      </w:r>
      <w:r>
        <w:rPr>
          <w:lang w:val="en-GB"/>
        </w:rPr>
        <w:t>s</w:t>
      </w:r>
      <w:r w:rsidR="00E10F1C" w:rsidRPr="00E10F1C">
        <w:rPr>
          <w:lang w:val="en-GB"/>
        </w:rPr>
        <w:t xml:space="preserve"> concerning the Vnr must be communicated to </w:t>
      </w:r>
      <w:r>
        <w:rPr>
          <w:lang w:val="en-GB"/>
        </w:rPr>
        <w:t xml:space="preserve">both </w:t>
      </w:r>
      <w:r w:rsidR="00E10F1C" w:rsidRPr="00E10F1C">
        <w:rPr>
          <w:lang w:val="en-GB"/>
        </w:rPr>
        <w:t xml:space="preserve">Farmalogg </w:t>
      </w:r>
      <w:r>
        <w:rPr>
          <w:lang w:val="en-GB"/>
        </w:rPr>
        <w:t>and NNC</w:t>
      </w:r>
      <w:r w:rsidR="00E10F1C" w:rsidRPr="00E10F1C">
        <w:rPr>
          <w:lang w:val="en-GB"/>
        </w:rPr>
        <w:t>.</w:t>
      </w:r>
    </w:p>
    <w:p w14:paraId="1D86908F" w14:textId="74EA61AE" w:rsidR="00E10F1C" w:rsidRDefault="00E10F1C" w:rsidP="00E10F1C">
      <w:pPr>
        <w:pStyle w:val="FLBody"/>
        <w:rPr>
          <w:lang w:val="en-GB"/>
        </w:rPr>
      </w:pPr>
      <w:r w:rsidRPr="00E10F1C">
        <w:rPr>
          <w:lang w:val="en-GB"/>
        </w:rPr>
        <w:t>Please note that new Vnr</w:t>
      </w:r>
      <w:r w:rsidR="00082F87">
        <w:rPr>
          <w:lang w:val="en-GB"/>
        </w:rPr>
        <w:t>s</w:t>
      </w:r>
      <w:r w:rsidRPr="00E10F1C">
        <w:rPr>
          <w:lang w:val="en-GB"/>
        </w:rPr>
        <w:t xml:space="preserve"> </w:t>
      </w:r>
      <w:r w:rsidR="00082F87">
        <w:rPr>
          <w:lang w:val="en-GB"/>
        </w:rPr>
        <w:t xml:space="preserve">always </w:t>
      </w:r>
      <w:r w:rsidRPr="00E10F1C">
        <w:rPr>
          <w:lang w:val="en-GB"/>
        </w:rPr>
        <w:t xml:space="preserve">must be registered and processed as </w:t>
      </w:r>
      <w:r w:rsidRPr="000F3E17">
        <w:rPr>
          <w:i/>
          <w:iCs/>
          <w:lang w:val="en-GB"/>
        </w:rPr>
        <w:t>new</w:t>
      </w:r>
      <w:r w:rsidRPr="00E10F1C">
        <w:rPr>
          <w:lang w:val="en-GB"/>
        </w:rPr>
        <w:t xml:space="preserve"> product</w:t>
      </w:r>
      <w:r w:rsidR="00082F87">
        <w:rPr>
          <w:lang w:val="en-GB"/>
        </w:rPr>
        <w:t>s</w:t>
      </w:r>
      <w:r w:rsidRPr="00E10F1C">
        <w:rPr>
          <w:lang w:val="en-GB"/>
        </w:rPr>
        <w:t xml:space="preserve"> in Vareregisteret.</w:t>
      </w:r>
      <w:r w:rsidR="00082F87">
        <w:rPr>
          <w:lang w:val="en-GB"/>
        </w:rPr>
        <w:t xml:space="preserve"> It is not possible to change the Vnr on an already marketed Vnr.</w:t>
      </w:r>
    </w:p>
    <w:p w14:paraId="00573DA4" w14:textId="71ED2381" w:rsidR="00E10F1C" w:rsidRDefault="00E10F1C" w:rsidP="00E10F1C">
      <w:pPr>
        <w:pStyle w:val="FLOverskrift2"/>
        <w:rPr>
          <w:lang w:val="en-GB"/>
        </w:rPr>
      </w:pPr>
      <w:r w:rsidRPr="00E10F1C">
        <w:rPr>
          <w:lang w:val="en-GB"/>
        </w:rPr>
        <w:t>4. Product codes</w:t>
      </w:r>
    </w:p>
    <w:p w14:paraId="6362D1B7" w14:textId="607486FC" w:rsidR="00A83383" w:rsidRDefault="00A83383" w:rsidP="00A83383">
      <w:pPr>
        <w:pStyle w:val="FLBody"/>
        <w:rPr>
          <w:lang w:val="en-GB"/>
        </w:rPr>
      </w:pPr>
      <w:r>
        <w:rPr>
          <w:lang w:val="en-GB"/>
        </w:rPr>
        <w:t xml:space="preserve">Product codes must be registered on farmalogg.no, either via registration of new Vnrs, or by adding new product codes to existing Vnrs. </w:t>
      </w:r>
      <w:r w:rsidRPr="00E10F1C">
        <w:rPr>
          <w:lang w:val="en-GB"/>
        </w:rPr>
        <w:t>The barcodes are used by wholesalers and pharmacies as the identifier in the physical handling of the medicines and is essential in the verification at the point of dispensing.</w:t>
      </w:r>
      <w:r>
        <w:rPr>
          <w:lang w:val="en-GB"/>
        </w:rPr>
        <w:t xml:space="preserve"> </w:t>
      </w:r>
      <w:r w:rsidRPr="0005328A">
        <w:rPr>
          <w:lang w:val="en-GB"/>
        </w:rPr>
        <w:t xml:space="preserve">For further information about product codes, please see the </w:t>
      </w:r>
      <w:hyperlink r:id="rId10" w:history="1">
        <w:r w:rsidRPr="0005328A">
          <w:rPr>
            <w:rStyle w:val="Hyperlink"/>
            <w:lang w:val="en-GB"/>
          </w:rPr>
          <w:t>Industry standard for product codes</w:t>
        </w:r>
      </w:hyperlink>
      <w:r>
        <w:rPr>
          <w:lang w:val="en-GB"/>
        </w:rPr>
        <w:t>.</w:t>
      </w:r>
    </w:p>
    <w:p w14:paraId="2CAB2C65" w14:textId="147A3872" w:rsidR="00A83383" w:rsidRDefault="00A83383" w:rsidP="00A83383">
      <w:pPr>
        <w:pStyle w:val="FLBody"/>
        <w:spacing w:after="120"/>
        <w:rPr>
          <w:lang w:val="en-GB"/>
        </w:rPr>
      </w:pPr>
      <w:r w:rsidRPr="009B3E9B">
        <w:rPr>
          <w:rStyle w:val="FLOverskrift3Tegn0"/>
          <w:lang w:val="en-GB"/>
        </w:rPr>
        <w:t>Change of product code</w:t>
      </w:r>
    </w:p>
    <w:p w14:paraId="3DD2E01B" w14:textId="2F02825B" w:rsidR="00A83383" w:rsidRDefault="00A83383" w:rsidP="00A83383">
      <w:pPr>
        <w:pStyle w:val="FLBody"/>
        <w:rPr>
          <w:lang w:val="en-GB"/>
        </w:rPr>
      </w:pPr>
      <w:r w:rsidRPr="00E10F1C">
        <w:rPr>
          <w:lang w:val="en-GB"/>
        </w:rPr>
        <w:t>If a GTIN is changed without a corresponding change of Vnr, the new product code m</w:t>
      </w:r>
      <w:r>
        <w:rPr>
          <w:lang w:val="en-GB"/>
        </w:rPr>
        <w:t>ust</w:t>
      </w:r>
      <w:r w:rsidRPr="00E10F1C">
        <w:rPr>
          <w:lang w:val="en-GB"/>
        </w:rPr>
        <w:t xml:space="preserve"> be added to the Vnr at </w:t>
      </w:r>
      <w:r>
        <w:rPr>
          <w:lang w:val="en-GB"/>
        </w:rPr>
        <w:t>f</w:t>
      </w:r>
      <w:r w:rsidRPr="00E10F1C">
        <w:rPr>
          <w:lang w:val="en-GB"/>
        </w:rPr>
        <w:t>armalogg</w:t>
      </w:r>
      <w:r>
        <w:rPr>
          <w:lang w:val="en-GB"/>
        </w:rPr>
        <w:t>.no</w:t>
      </w:r>
      <w:r w:rsidRPr="00E10F1C">
        <w:rPr>
          <w:lang w:val="en-GB"/>
        </w:rPr>
        <w:t>. Each Vnr may be linked to multiple product codes</w:t>
      </w:r>
      <w:r>
        <w:rPr>
          <w:lang w:val="en-GB"/>
        </w:rPr>
        <w:t>.</w:t>
      </w:r>
      <w:r w:rsidRPr="00E10F1C">
        <w:rPr>
          <w:lang w:val="en-GB"/>
        </w:rPr>
        <w:t xml:space="preserve"> </w:t>
      </w:r>
      <w:r>
        <w:rPr>
          <w:lang w:val="en-GB"/>
        </w:rPr>
        <w:t xml:space="preserve">For further information, see </w:t>
      </w:r>
      <w:hyperlink r:id="rId11" w:history="1">
        <w:r w:rsidRPr="009B3E9B">
          <w:rPr>
            <w:rStyle w:val="Hyperlink"/>
            <w:lang w:val="en-GB"/>
          </w:rPr>
          <w:t>Change situations Vnr vs. GTIN</w:t>
        </w:r>
      </w:hyperlink>
      <w:r>
        <w:rPr>
          <w:lang w:val="en-GB"/>
        </w:rPr>
        <w:t xml:space="preserve">. Please note the general rule; </w:t>
      </w:r>
      <w:r w:rsidRPr="009B3E9B">
        <w:rPr>
          <w:lang w:val="en-GB"/>
        </w:rPr>
        <w:t xml:space="preserve">If </w:t>
      </w:r>
      <w:r>
        <w:rPr>
          <w:lang w:val="en-GB"/>
        </w:rPr>
        <w:t xml:space="preserve">the </w:t>
      </w:r>
      <w:r w:rsidRPr="009B3E9B">
        <w:rPr>
          <w:lang w:val="en-GB"/>
        </w:rPr>
        <w:t>Vnr changes</w:t>
      </w:r>
      <w:r>
        <w:rPr>
          <w:lang w:val="en-GB"/>
        </w:rPr>
        <w:t xml:space="preserve">, the </w:t>
      </w:r>
      <w:r w:rsidRPr="009B3E9B">
        <w:rPr>
          <w:lang w:val="en-GB"/>
        </w:rPr>
        <w:t xml:space="preserve">GTIN always </w:t>
      </w:r>
      <w:r>
        <w:rPr>
          <w:lang w:val="en-GB"/>
        </w:rPr>
        <w:t>changes.</w:t>
      </w:r>
    </w:p>
    <w:p w14:paraId="474C3834" w14:textId="5DEC353D" w:rsidR="00E10F1C" w:rsidRDefault="00E10F1C" w:rsidP="00E10F1C">
      <w:pPr>
        <w:pStyle w:val="FLOverskrift2"/>
        <w:rPr>
          <w:lang w:val="en-GB"/>
        </w:rPr>
      </w:pPr>
      <w:r w:rsidRPr="00E10F1C">
        <w:rPr>
          <w:lang w:val="en-GB"/>
        </w:rPr>
        <w:t xml:space="preserve">5. Product groups and vnr-series in Norway </w:t>
      </w:r>
    </w:p>
    <w:p w14:paraId="18B07FF0" w14:textId="7981372F" w:rsidR="00E10F1C" w:rsidRDefault="00E10F1C" w:rsidP="00E10F1C">
      <w:pPr>
        <w:pStyle w:val="FLBody"/>
        <w:rPr>
          <w:lang w:val="en-GB"/>
        </w:rPr>
      </w:pPr>
      <w:r w:rsidRPr="00E10F1C">
        <w:rPr>
          <w:lang w:val="en-GB"/>
        </w:rPr>
        <w:lastRenderedPageBreak/>
        <w:t xml:space="preserve">All products in Vareregisteret are grouped into </w:t>
      </w:r>
      <w:r w:rsidR="00A83383">
        <w:rPr>
          <w:lang w:val="en-GB"/>
        </w:rPr>
        <w:t>nine</w:t>
      </w:r>
      <w:r w:rsidRPr="00E10F1C">
        <w:rPr>
          <w:lang w:val="en-GB"/>
        </w:rPr>
        <w:t xml:space="preserve"> different product groups, and the article number </w:t>
      </w:r>
      <w:r w:rsidR="00A83383">
        <w:rPr>
          <w:lang w:val="en-GB"/>
        </w:rPr>
        <w:t>is</w:t>
      </w:r>
      <w:r w:rsidRPr="00E10F1C">
        <w:rPr>
          <w:lang w:val="en-GB"/>
        </w:rPr>
        <w:t xml:space="preserve"> either </w:t>
      </w:r>
      <w:r w:rsidR="00A83383">
        <w:rPr>
          <w:lang w:val="en-GB"/>
        </w:rPr>
        <w:t xml:space="preserve">a </w:t>
      </w:r>
      <w:r w:rsidRPr="000F3E17">
        <w:rPr>
          <w:i/>
          <w:iCs/>
          <w:lang w:val="en-GB"/>
        </w:rPr>
        <w:t>Nordic article number</w:t>
      </w:r>
      <w:r w:rsidRPr="00E10F1C">
        <w:rPr>
          <w:lang w:val="en-GB"/>
        </w:rPr>
        <w:t xml:space="preserve"> or </w:t>
      </w:r>
      <w:r w:rsidR="00A83383">
        <w:rPr>
          <w:lang w:val="en-GB"/>
        </w:rPr>
        <w:t xml:space="preserve">a </w:t>
      </w:r>
      <w:r w:rsidRPr="000F3E17">
        <w:rPr>
          <w:i/>
          <w:iCs/>
          <w:lang w:val="en-GB"/>
        </w:rPr>
        <w:t>National article number</w:t>
      </w:r>
      <w:r w:rsidRPr="00E10F1C">
        <w:rPr>
          <w:lang w:val="en-GB"/>
        </w:rPr>
        <w:t>:</w:t>
      </w:r>
    </w:p>
    <w:tbl>
      <w:tblPr>
        <w:tblStyle w:val="TableGrid"/>
        <w:tblW w:w="5000" w:type="pct"/>
        <w:tblLook w:val="04A0" w:firstRow="1" w:lastRow="0" w:firstColumn="1" w:lastColumn="0" w:noHBand="0" w:noVBand="1"/>
      </w:tblPr>
      <w:tblGrid>
        <w:gridCol w:w="525"/>
        <w:gridCol w:w="5527"/>
        <w:gridCol w:w="2072"/>
        <w:gridCol w:w="938"/>
      </w:tblGrid>
      <w:tr w:rsidR="000F3E17" w:rsidRPr="000F3E17" w14:paraId="1F606CFF" w14:textId="77777777" w:rsidTr="00777E11">
        <w:tc>
          <w:tcPr>
            <w:tcW w:w="290" w:type="pct"/>
          </w:tcPr>
          <w:p w14:paraId="5F2BCC6F" w14:textId="3164B4BB" w:rsidR="000F3E17" w:rsidRPr="000F3E17" w:rsidRDefault="000F3E17" w:rsidP="000F3E17">
            <w:pPr>
              <w:pStyle w:val="FLBody"/>
              <w:spacing w:after="0" w:line="240" w:lineRule="auto"/>
              <w:rPr>
                <w:b/>
                <w:bCs/>
                <w:sz w:val="21"/>
                <w:lang w:val="en-GB"/>
              </w:rPr>
            </w:pPr>
            <w:r w:rsidRPr="000F3E17">
              <w:rPr>
                <w:b/>
                <w:bCs/>
                <w:sz w:val="21"/>
                <w:lang w:val="en-GB"/>
              </w:rPr>
              <w:t>No</w:t>
            </w:r>
          </w:p>
        </w:tc>
        <w:tc>
          <w:tcPr>
            <w:tcW w:w="3050" w:type="pct"/>
          </w:tcPr>
          <w:p w14:paraId="2E4EAD12" w14:textId="3DB3435C" w:rsidR="000F3E17" w:rsidRPr="000F3E17" w:rsidRDefault="000F3E17" w:rsidP="000F3E17">
            <w:pPr>
              <w:pStyle w:val="FLBody"/>
              <w:spacing w:after="0" w:line="240" w:lineRule="auto"/>
              <w:rPr>
                <w:b/>
                <w:bCs/>
                <w:sz w:val="21"/>
                <w:lang w:val="en-GB"/>
              </w:rPr>
            </w:pPr>
            <w:r w:rsidRPr="000F3E17">
              <w:rPr>
                <w:b/>
                <w:bCs/>
                <w:sz w:val="21"/>
                <w:lang w:val="en-GB"/>
              </w:rPr>
              <w:t>Product group</w:t>
            </w:r>
          </w:p>
        </w:tc>
        <w:tc>
          <w:tcPr>
            <w:tcW w:w="1144" w:type="pct"/>
          </w:tcPr>
          <w:p w14:paraId="1B5250DA" w14:textId="18D0ED81" w:rsidR="000F3E17" w:rsidRPr="000F3E17" w:rsidRDefault="000F3E17" w:rsidP="000F3E17">
            <w:pPr>
              <w:pStyle w:val="FLBody"/>
              <w:spacing w:after="0" w:line="240" w:lineRule="auto"/>
              <w:rPr>
                <w:b/>
                <w:bCs/>
                <w:sz w:val="21"/>
                <w:lang w:val="en-GB"/>
              </w:rPr>
            </w:pPr>
            <w:r w:rsidRPr="000F3E17">
              <w:rPr>
                <w:b/>
                <w:bCs/>
                <w:sz w:val="21"/>
                <w:lang w:val="en-GB"/>
              </w:rPr>
              <w:t>Article number series</w:t>
            </w:r>
          </w:p>
        </w:tc>
        <w:tc>
          <w:tcPr>
            <w:tcW w:w="516" w:type="pct"/>
          </w:tcPr>
          <w:p w14:paraId="3FF46F59" w14:textId="03B99CD0" w:rsidR="000F3E17" w:rsidRPr="000F3E17" w:rsidRDefault="000F3E17" w:rsidP="000F3E17">
            <w:pPr>
              <w:pStyle w:val="FLBody"/>
              <w:spacing w:after="0" w:line="240" w:lineRule="auto"/>
              <w:rPr>
                <w:b/>
                <w:bCs/>
                <w:sz w:val="21"/>
                <w:lang w:val="en-GB"/>
              </w:rPr>
            </w:pPr>
            <w:r w:rsidRPr="000F3E17">
              <w:rPr>
                <w:b/>
                <w:bCs/>
                <w:sz w:val="21"/>
                <w:lang w:val="en-GB"/>
              </w:rPr>
              <w:t>Type</w:t>
            </w:r>
          </w:p>
        </w:tc>
      </w:tr>
      <w:tr w:rsidR="00777E11" w:rsidRPr="000F3E17" w14:paraId="67B4586E" w14:textId="77777777" w:rsidTr="00777E11">
        <w:tc>
          <w:tcPr>
            <w:tcW w:w="290" w:type="pct"/>
            <w:shd w:val="clear" w:color="auto" w:fill="D9D9D9" w:themeFill="background1" w:themeFillShade="D9"/>
          </w:tcPr>
          <w:p w14:paraId="514226F0" w14:textId="280FBBDD" w:rsidR="000F3E17" w:rsidRPr="000F3E17" w:rsidRDefault="000F3E17" w:rsidP="000F3E17">
            <w:pPr>
              <w:pStyle w:val="FLBody"/>
              <w:spacing w:after="0" w:line="240" w:lineRule="auto"/>
              <w:rPr>
                <w:sz w:val="21"/>
                <w:lang w:val="en-GB"/>
              </w:rPr>
            </w:pPr>
            <w:r w:rsidRPr="000F3E17">
              <w:rPr>
                <w:rFonts w:cs="Calibri"/>
                <w:color w:val="000000"/>
                <w:sz w:val="21"/>
              </w:rPr>
              <w:t>1</w:t>
            </w:r>
          </w:p>
        </w:tc>
        <w:tc>
          <w:tcPr>
            <w:tcW w:w="3050" w:type="pct"/>
            <w:shd w:val="clear" w:color="auto" w:fill="D9D9D9" w:themeFill="background1" w:themeFillShade="D9"/>
          </w:tcPr>
          <w:p w14:paraId="71DC96C8" w14:textId="7EA6DEF4" w:rsidR="000F3E17" w:rsidRPr="000F3E17" w:rsidRDefault="000F3E17" w:rsidP="000F3E17">
            <w:pPr>
              <w:pStyle w:val="FLBody"/>
              <w:spacing w:after="0" w:line="240" w:lineRule="auto"/>
              <w:rPr>
                <w:sz w:val="21"/>
                <w:lang w:val="en-GB"/>
              </w:rPr>
            </w:pPr>
            <w:r w:rsidRPr="000F3E17">
              <w:rPr>
                <w:rFonts w:cs="Calibri"/>
                <w:color w:val="000000"/>
                <w:sz w:val="21"/>
                <w:lang w:val="en-GB"/>
              </w:rPr>
              <w:t xml:space="preserve">Medicines with MA (marketing authorisation) </w:t>
            </w:r>
          </w:p>
        </w:tc>
        <w:tc>
          <w:tcPr>
            <w:tcW w:w="1144" w:type="pct"/>
            <w:shd w:val="clear" w:color="auto" w:fill="D9D9D9" w:themeFill="background1" w:themeFillShade="D9"/>
          </w:tcPr>
          <w:p w14:paraId="36916F71" w14:textId="62C43664" w:rsidR="000F3E17" w:rsidRPr="000F3E17" w:rsidRDefault="000F3E17" w:rsidP="000F3E17">
            <w:pPr>
              <w:pStyle w:val="FLBody"/>
              <w:spacing w:after="0" w:line="240" w:lineRule="auto"/>
              <w:rPr>
                <w:sz w:val="21"/>
                <w:lang w:val="en-GB"/>
              </w:rPr>
            </w:pPr>
            <w:r w:rsidRPr="000F3E17">
              <w:rPr>
                <w:rFonts w:cs="Calibri"/>
                <w:color w:val="000000"/>
                <w:sz w:val="21"/>
              </w:rPr>
              <w:t xml:space="preserve">00 00 01 - 19 99 99 </w:t>
            </w:r>
            <w:r w:rsidRPr="000F3E17">
              <w:rPr>
                <w:rFonts w:cs="Calibri"/>
                <w:color w:val="000000"/>
                <w:sz w:val="21"/>
              </w:rPr>
              <w:br/>
              <w:t>37 00 00 - 59 99 99</w:t>
            </w:r>
          </w:p>
        </w:tc>
        <w:tc>
          <w:tcPr>
            <w:tcW w:w="516" w:type="pct"/>
            <w:shd w:val="clear" w:color="auto" w:fill="D9D9D9" w:themeFill="background1" w:themeFillShade="D9"/>
          </w:tcPr>
          <w:p w14:paraId="046D1467" w14:textId="1C678EFE" w:rsidR="000F3E17" w:rsidRPr="000F3E17" w:rsidRDefault="000F3E17" w:rsidP="000F3E17">
            <w:pPr>
              <w:pStyle w:val="FLBody"/>
              <w:spacing w:after="0" w:line="240" w:lineRule="auto"/>
              <w:rPr>
                <w:sz w:val="21"/>
                <w:lang w:val="en-GB"/>
              </w:rPr>
            </w:pPr>
            <w:r w:rsidRPr="000F3E17">
              <w:rPr>
                <w:rFonts w:cs="Calibri"/>
                <w:color w:val="000000"/>
                <w:sz w:val="21"/>
              </w:rPr>
              <w:t>Nordic</w:t>
            </w:r>
          </w:p>
        </w:tc>
      </w:tr>
      <w:tr w:rsidR="000F3E17" w:rsidRPr="000F3E17" w14:paraId="5A7CF210" w14:textId="77777777" w:rsidTr="00777E11">
        <w:tc>
          <w:tcPr>
            <w:tcW w:w="290" w:type="pct"/>
          </w:tcPr>
          <w:p w14:paraId="0CB169D4" w14:textId="4BE578FE" w:rsidR="000F3E17" w:rsidRPr="000F3E17" w:rsidRDefault="000F3E17" w:rsidP="000F3E17">
            <w:pPr>
              <w:pStyle w:val="FLBody"/>
              <w:spacing w:after="0" w:line="240" w:lineRule="auto"/>
              <w:rPr>
                <w:sz w:val="21"/>
                <w:lang w:val="en-GB"/>
              </w:rPr>
            </w:pPr>
            <w:r w:rsidRPr="000F3E17">
              <w:rPr>
                <w:rFonts w:cs="Calibri"/>
                <w:color w:val="000000"/>
                <w:sz w:val="21"/>
              </w:rPr>
              <w:t>2</w:t>
            </w:r>
          </w:p>
        </w:tc>
        <w:tc>
          <w:tcPr>
            <w:tcW w:w="3050" w:type="pct"/>
          </w:tcPr>
          <w:p w14:paraId="0D3592C8" w14:textId="3D5F967E" w:rsidR="000F3E17" w:rsidRPr="000F3E17" w:rsidRDefault="000F3E17" w:rsidP="000F3E17">
            <w:pPr>
              <w:pStyle w:val="FLBody"/>
              <w:spacing w:after="0" w:line="240" w:lineRule="auto"/>
              <w:rPr>
                <w:sz w:val="21"/>
                <w:lang w:val="en-GB"/>
              </w:rPr>
            </w:pPr>
            <w:r w:rsidRPr="000F3E17">
              <w:rPr>
                <w:rFonts w:cs="Calibri"/>
                <w:color w:val="000000"/>
                <w:sz w:val="21"/>
              </w:rPr>
              <w:t xml:space="preserve">Pharmacy produced medicines </w:t>
            </w:r>
          </w:p>
        </w:tc>
        <w:tc>
          <w:tcPr>
            <w:tcW w:w="1144" w:type="pct"/>
          </w:tcPr>
          <w:p w14:paraId="5B4CAEF0" w14:textId="171D4108" w:rsidR="000F3E17" w:rsidRPr="000F3E17" w:rsidRDefault="000F3E17" w:rsidP="000F3E17">
            <w:pPr>
              <w:pStyle w:val="FLBody"/>
              <w:spacing w:after="0" w:line="240" w:lineRule="auto"/>
              <w:rPr>
                <w:sz w:val="21"/>
                <w:lang w:val="en-GB"/>
              </w:rPr>
            </w:pPr>
            <w:r w:rsidRPr="000F3E17">
              <w:rPr>
                <w:rFonts w:cs="Calibri"/>
                <w:color w:val="000000"/>
                <w:sz w:val="21"/>
              </w:rPr>
              <w:t xml:space="preserve">20 00 00 - 36 99 99 </w:t>
            </w:r>
          </w:p>
        </w:tc>
        <w:tc>
          <w:tcPr>
            <w:tcW w:w="516" w:type="pct"/>
          </w:tcPr>
          <w:p w14:paraId="27E01471" w14:textId="5854A0E7" w:rsidR="000F3E17" w:rsidRPr="000F3E17" w:rsidRDefault="000F3E17" w:rsidP="000F3E17">
            <w:pPr>
              <w:pStyle w:val="FLBody"/>
              <w:spacing w:after="0" w:line="240" w:lineRule="auto"/>
              <w:rPr>
                <w:sz w:val="21"/>
                <w:lang w:val="en-GB"/>
              </w:rPr>
            </w:pPr>
            <w:r w:rsidRPr="000F3E17">
              <w:rPr>
                <w:rFonts w:cs="Calibri"/>
                <w:color w:val="000000"/>
                <w:sz w:val="21"/>
              </w:rPr>
              <w:t>National</w:t>
            </w:r>
          </w:p>
        </w:tc>
      </w:tr>
      <w:tr w:rsidR="000F3E17" w:rsidRPr="000F3E17" w14:paraId="608EC3A6" w14:textId="77777777" w:rsidTr="00777E11">
        <w:tc>
          <w:tcPr>
            <w:tcW w:w="290" w:type="pct"/>
          </w:tcPr>
          <w:p w14:paraId="065F46CD" w14:textId="41ADA552" w:rsidR="000F3E17" w:rsidRPr="000F3E17" w:rsidRDefault="000F3E17" w:rsidP="000F3E17">
            <w:pPr>
              <w:pStyle w:val="FLBody"/>
              <w:spacing w:after="0" w:line="240" w:lineRule="auto"/>
              <w:rPr>
                <w:sz w:val="21"/>
                <w:lang w:val="en-GB"/>
              </w:rPr>
            </w:pPr>
            <w:r w:rsidRPr="000F3E17">
              <w:rPr>
                <w:rFonts w:cs="Calibri"/>
                <w:color w:val="000000"/>
                <w:sz w:val="21"/>
              </w:rPr>
              <w:t>3</w:t>
            </w:r>
          </w:p>
        </w:tc>
        <w:tc>
          <w:tcPr>
            <w:tcW w:w="3050" w:type="pct"/>
          </w:tcPr>
          <w:p w14:paraId="102BEB09" w14:textId="3DAC07BE" w:rsidR="000F3E17" w:rsidRPr="000F3E17" w:rsidRDefault="000F3E17" w:rsidP="000F3E17">
            <w:pPr>
              <w:pStyle w:val="FLBody"/>
              <w:spacing w:after="0" w:line="240" w:lineRule="auto"/>
              <w:rPr>
                <w:sz w:val="21"/>
                <w:lang w:val="en-GB"/>
              </w:rPr>
            </w:pPr>
            <w:r w:rsidRPr="000F3E17">
              <w:rPr>
                <w:rFonts w:cs="Calibri"/>
                <w:color w:val="000000"/>
                <w:sz w:val="21"/>
                <w:lang w:val="en-GB"/>
              </w:rPr>
              <w:t xml:space="preserve">Commodities incl. medical equipment and products approved for reimbursement by the Norwegian Health Economics </w:t>
            </w:r>
          </w:p>
        </w:tc>
        <w:tc>
          <w:tcPr>
            <w:tcW w:w="1144" w:type="pct"/>
          </w:tcPr>
          <w:p w14:paraId="7FE47376" w14:textId="0BB1CC68" w:rsidR="000F3E17" w:rsidRPr="000F3E17" w:rsidRDefault="000F3E17" w:rsidP="000F3E17">
            <w:pPr>
              <w:pStyle w:val="FLBody"/>
              <w:spacing w:after="0" w:line="240" w:lineRule="auto"/>
              <w:rPr>
                <w:sz w:val="21"/>
                <w:lang w:val="en-GB"/>
              </w:rPr>
            </w:pPr>
            <w:r w:rsidRPr="000F3E17">
              <w:rPr>
                <w:rFonts w:cs="Calibri"/>
                <w:color w:val="000000"/>
                <w:sz w:val="21"/>
              </w:rPr>
              <w:t xml:space="preserve">80 00 00 - 99 99 99 </w:t>
            </w:r>
          </w:p>
        </w:tc>
        <w:tc>
          <w:tcPr>
            <w:tcW w:w="516" w:type="pct"/>
          </w:tcPr>
          <w:p w14:paraId="7A2E62BC" w14:textId="3EFB7717" w:rsidR="000F3E17" w:rsidRPr="000F3E17" w:rsidRDefault="000F3E17" w:rsidP="000F3E17">
            <w:pPr>
              <w:pStyle w:val="FLBody"/>
              <w:spacing w:after="0" w:line="240" w:lineRule="auto"/>
              <w:rPr>
                <w:sz w:val="21"/>
                <w:lang w:val="en-GB"/>
              </w:rPr>
            </w:pPr>
            <w:r w:rsidRPr="000F3E17">
              <w:rPr>
                <w:rFonts w:cs="Calibri"/>
                <w:color w:val="000000"/>
                <w:sz w:val="21"/>
              </w:rPr>
              <w:t>National</w:t>
            </w:r>
          </w:p>
        </w:tc>
      </w:tr>
      <w:tr w:rsidR="000F3E17" w:rsidRPr="000F3E17" w14:paraId="4DC2A26E" w14:textId="77777777" w:rsidTr="00777E11">
        <w:tc>
          <w:tcPr>
            <w:tcW w:w="290" w:type="pct"/>
          </w:tcPr>
          <w:p w14:paraId="5FF4B329" w14:textId="501487DE" w:rsidR="000F3E17" w:rsidRPr="000F3E17" w:rsidRDefault="000F3E17" w:rsidP="000F3E17">
            <w:pPr>
              <w:pStyle w:val="FLBody"/>
              <w:spacing w:after="0" w:line="240" w:lineRule="auto"/>
              <w:rPr>
                <w:sz w:val="21"/>
                <w:lang w:val="en-GB"/>
              </w:rPr>
            </w:pPr>
            <w:r w:rsidRPr="000F3E17">
              <w:rPr>
                <w:rFonts w:cs="Calibri"/>
                <w:color w:val="000000"/>
                <w:sz w:val="21"/>
              </w:rPr>
              <w:t>4</w:t>
            </w:r>
          </w:p>
        </w:tc>
        <w:tc>
          <w:tcPr>
            <w:tcW w:w="3050" w:type="pct"/>
          </w:tcPr>
          <w:p w14:paraId="498A0F66" w14:textId="3EAD39AC" w:rsidR="000F3E17" w:rsidRPr="000F3E17" w:rsidRDefault="000F3E17" w:rsidP="000F3E17">
            <w:pPr>
              <w:pStyle w:val="FLBody"/>
              <w:spacing w:after="0" w:line="240" w:lineRule="auto"/>
              <w:rPr>
                <w:sz w:val="21"/>
                <w:lang w:val="en-GB"/>
              </w:rPr>
            </w:pPr>
            <w:r w:rsidRPr="000F3E17">
              <w:rPr>
                <w:rFonts w:cs="Calibri"/>
                <w:color w:val="000000"/>
                <w:sz w:val="21"/>
              </w:rPr>
              <w:t>Chemicals</w:t>
            </w:r>
          </w:p>
        </w:tc>
        <w:tc>
          <w:tcPr>
            <w:tcW w:w="1144" w:type="pct"/>
          </w:tcPr>
          <w:p w14:paraId="507D9E49" w14:textId="168A5627" w:rsidR="000F3E17" w:rsidRPr="000F3E17" w:rsidRDefault="000F3E17" w:rsidP="000F3E17">
            <w:pPr>
              <w:pStyle w:val="FLBody"/>
              <w:spacing w:after="0" w:line="240" w:lineRule="auto"/>
              <w:rPr>
                <w:sz w:val="21"/>
                <w:lang w:val="en-GB"/>
              </w:rPr>
            </w:pPr>
            <w:r w:rsidRPr="000F3E17">
              <w:rPr>
                <w:rFonts w:cs="Calibri"/>
                <w:color w:val="000000"/>
                <w:sz w:val="21"/>
              </w:rPr>
              <w:t xml:space="preserve">20 00 00 - 36 99 99 </w:t>
            </w:r>
          </w:p>
        </w:tc>
        <w:tc>
          <w:tcPr>
            <w:tcW w:w="516" w:type="pct"/>
          </w:tcPr>
          <w:p w14:paraId="7E2E3560" w14:textId="5417C167" w:rsidR="000F3E17" w:rsidRPr="000F3E17" w:rsidRDefault="000F3E17" w:rsidP="000F3E17">
            <w:pPr>
              <w:pStyle w:val="FLBody"/>
              <w:spacing w:after="0" w:line="240" w:lineRule="auto"/>
              <w:rPr>
                <w:sz w:val="21"/>
                <w:lang w:val="en-GB"/>
              </w:rPr>
            </w:pPr>
            <w:r w:rsidRPr="000F3E17">
              <w:rPr>
                <w:rFonts w:cs="Calibri"/>
                <w:color w:val="000000"/>
                <w:sz w:val="21"/>
              </w:rPr>
              <w:t>National</w:t>
            </w:r>
          </w:p>
        </w:tc>
      </w:tr>
      <w:tr w:rsidR="000F3E17" w:rsidRPr="000F3E17" w14:paraId="327E82D2" w14:textId="77777777" w:rsidTr="00777E11">
        <w:tc>
          <w:tcPr>
            <w:tcW w:w="290" w:type="pct"/>
          </w:tcPr>
          <w:p w14:paraId="3EDE27DC" w14:textId="2E635ED7" w:rsidR="000F3E17" w:rsidRPr="000F3E17" w:rsidRDefault="000F3E17" w:rsidP="000F3E17">
            <w:pPr>
              <w:pStyle w:val="FLBody"/>
              <w:spacing w:after="0" w:line="240" w:lineRule="auto"/>
              <w:rPr>
                <w:sz w:val="21"/>
                <w:lang w:val="en-GB"/>
              </w:rPr>
            </w:pPr>
            <w:r w:rsidRPr="000F3E17">
              <w:rPr>
                <w:rFonts w:cs="Calibri"/>
                <w:color w:val="000000"/>
                <w:sz w:val="21"/>
              </w:rPr>
              <w:t>5</w:t>
            </w:r>
          </w:p>
        </w:tc>
        <w:tc>
          <w:tcPr>
            <w:tcW w:w="3050" w:type="pct"/>
          </w:tcPr>
          <w:p w14:paraId="6BABEADA" w14:textId="353A3074" w:rsidR="000F3E17" w:rsidRPr="000F3E17" w:rsidRDefault="000F3E17" w:rsidP="000F3E17">
            <w:pPr>
              <w:pStyle w:val="FLBody"/>
              <w:spacing w:after="0" w:line="240" w:lineRule="auto"/>
              <w:rPr>
                <w:sz w:val="21"/>
                <w:lang w:val="en-GB"/>
              </w:rPr>
            </w:pPr>
            <w:r w:rsidRPr="000F3E17">
              <w:rPr>
                <w:rFonts w:cs="Calibri"/>
                <w:color w:val="000000"/>
                <w:sz w:val="21"/>
              </w:rPr>
              <w:t>Medicinal herbs</w:t>
            </w:r>
          </w:p>
        </w:tc>
        <w:tc>
          <w:tcPr>
            <w:tcW w:w="1144" w:type="pct"/>
          </w:tcPr>
          <w:p w14:paraId="3D5D956C" w14:textId="14619D85" w:rsidR="000F3E17" w:rsidRPr="000F3E17" w:rsidRDefault="000F3E17" w:rsidP="000F3E17">
            <w:pPr>
              <w:pStyle w:val="FLBody"/>
              <w:spacing w:after="0" w:line="240" w:lineRule="auto"/>
              <w:rPr>
                <w:sz w:val="21"/>
                <w:lang w:val="en-GB"/>
              </w:rPr>
            </w:pPr>
            <w:r w:rsidRPr="000F3E17">
              <w:rPr>
                <w:rFonts w:cs="Calibri"/>
                <w:color w:val="000000"/>
                <w:sz w:val="21"/>
              </w:rPr>
              <w:t xml:space="preserve">20 00 00 - 36 99 99 </w:t>
            </w:r>
          </w:p>
        </w:tc>
        <w:tc>
          <w:tcPr>
            <w:tcW w:w="516" w:type="pct"/>
          </w:tcPr>
          <w:p w14:paraId="4A3A1D2F" w14:textId="7FE4C6D0" w:rsidR="000F3E17" w:rsidRPr="000F3E17" w:rsidRDefault="000F3E17" w:rsidP="000F3E17">
            <w:pPr>
              <w:pStyle w:val="FLBody"/>
              <w:spacing w:after="0" w:line="240" w:lineRule="auto"/>
              <w:rPr>
                <w:sz w:val="21"/>
                <w:lang w:val="en-GB"/>
              </w:rPr>
            </w:pPr>
            <w:r w:rsidRPr="000F3E17">
              <w:rPr>
                <w:rFonts w:cs="Calibri"/>
                <w:color w:val="000000"/>
                <w:sz w:val="21"/>
              </w:rPr>
              <w:t>National</w:t>
            </w:r>
          </w:p>
        </w:tc>
      </w:tr>
      <w:tr w:rsidR="000F3E17" w:rsidRPr="000F3E17" w14:paraId="7B9E7988" w14:textId="77777777" w:rsidTr="00777E11">
        <w:tc>
          <w:tcPr>
            <w:tcW w:w="290" w:type="pct"/>
          </w:tcPr>
          <w:p w14:paraId="3A6D7799" w14:textId="06AC0F0E" w:rsidR="000F3E17" w:rsidRPr="000F3E17" w:rsidRDefault="000F3E17" w:rsidP="000F3E17">
            <w:pPr>
              <w:pStyle w:val="FLBody"/>
              <w:spacing w:after="0" w:line="240" w:lineRule="auto"/>
              <w:rPr>
                <w:sz w:val="21"/>
                <w:lang w:val="en-GB"/>
              </w:rPr>
            </w:pPr>
            <w:r w:rsidRPr="000F3E17">
              <w:rPr>
                <w:rFonts w:cs="Calibri"/>
                <w:color w:val="000000"/>
                <w:sz w:val="21"/>
              </w:rPr>
              <w:t>6</w:t>
            </w:r>
          </w:p>
        </w:tc>
        <w:tc>
          <w:tcPr>
            <w:tcW w:w="3050" w:type="pct"/>
          </w:tcPr>
          <w:p w14:paraId="14920319" w14:textId="311FF459" w:rsidR="000F3E17" w:rsidRPr="000F3E17" w:rsidRDefault="000F3E17" w:rsidP="000F3E17">
            <w:pPr>
              <w:pStyle w:val="FLBody"/>
              <w:spacing w:after="0" w:line="240" w:lineRule="auto"/>
              <w:rPr>
                <w:sz w:val="21"/>
                <w:lang w:val="en-GB"/>
              </w:rPr>
            </w:pPr>
            <w:r w:rsidRPr="000F3E17">
              <w:rPr>
                <w:rFonts w:cs="Calibri"/>
                <w:color w:val="000000"/>
                <w:sz w:val="21"/>
                <w:lang w:val="en-GB"/>
              </w:rPr>
              <w:t xml:space="preserve">Medicines without MA (marketing authorisation) </w:t>
            </w:r>
            <w:r w:rsidR="00777E11">
              <w:rPr>
                <w:rFonts w:cs="Calibri"/>
                <w:color w:val="000000"/>
                <w:sz w:val="21"/>
                <w:lang w:val="en-GB"/>
              </w:rPr>
              <w:t xml:space="preserve">/ </w:t>
            </w:r>
            <w:r w:rsidR="00777E11">
              <w:rPr>
                <w:rFonts w:cs="Calibri"/>
                <w:color w:val="000000"/>
                <w:sz w:val="21"/>
                <w:lang w:val="en-GB"/>
              </w:rPr>
              <w:br/>
            </w:r>
            <w:r w:rsidR="00777E11" w:rsidRPr="000F3E17">
              <w:rPr>
                <w:rFonts w:cs="Calibri"/>
                <w:color w:val="000000"/>
                <w:sz w:val="21"/>
                <w:lang w:val="en-GB"/>
              </w:rPr>
              <w:t>Unlicensed medicines</w:t>
            </w:r>
          </w:p>
        </w:tc>
        <w:tc>
          <w:tcPr>
            <w:tcW w:w="1144" w:type="pct"/>
          </w:tcPr>
          <w:p w14:paraId="408D99BE" w14:textId="15E15567" w:rsidR="000F3E17" w:rsidRPr="000F3E17" w:rsidRDefault="000F3E17" w:rsidP="000F3E17">
            <w:pPr>
              <w:pStyle w:val="FLBody"/>
              <w:spacing w:after="0" w:line="240" w:lineRule="auto"/>
              <w:rPr>
                <w:sz w:val="21"/>
                <w:lang w:val="en-GB"/>
              </w:rPr>
            </w:pPr>
            <w:r w:rsidRPr="000F3E17">
              <w:rPr>
                <w:rFonts w:cs="Calibri"/>
                <w:color w:val="000000"/>
                <w:sz w:val="21"/>
              </w:rPr>
              <w:t xml:space="preserve">20 00 00 - 36 99 99 </w:t>
            </w:r>
          </w:p>
        </w:tc>
        <w:tc>
          <w:tcPr>
            <w:tcW w:w="516" w:type="pct"/>
          </w:tcPr>
          <w:p w14:paraId="134FE8B1" w14:textId="00960F70" w:rsidR="000F3E17" w:rsidRPr="000F3E17" w:rsidRDefault="000F3E17" w:rsidP="000F3E17">
            <w:pPr>
              <w:pStyle w:val="FLBody"/>
              <w:spacing w:after="0" w:line="240" w:lineRule="auto"/>
              <w:rPr>
                <w:sz w:val="21"/>
                <w:lang w:val="en-GB"/>
              </w:rPr>
            </w:pPr>
            <w:r w:rsidRPr="000F3E17">
              <w:rPr>
                <w:rFonts w:cs="Calibri"/>
                <w:color w:val="000000"/>
                <w:sz w:val="21"/>
              </w:rPr>
              <w:t>National</w:t>
            </w:r>
          </w:p>
        </w:tc>
      </w:tr>
      <w:tr w:rsidR="000F3E17" w:rsidRPr="000F3E17" w14:paraId="56B97E9A" w14:textId="77777777" w:rsidTr="00777E11">
        <w:tc>
          <w:tcPr>
            <w:tcW w:w="290" w:type="pct"/>
          </w:tcPr>
          <w:p w14:paraId="09A94F32" w14:textId="17DAE5F3" w:rsidR="000F3E17" w:rsidRPr="000F3E17" w:rsidRDefault="000F3E17" w:rsidP="000F3E17">
            <w:pPr>
              <w:pStyle w:val="FLBody"/>
              <w:spacing w:after="0" w:line="240" w:lineRule="auto"/>
              <w:rPr>
                <w:sz w:val="21"/>
                <w:lang w:val="en-GB"/>
              </w:rPr>
            </w:pPr>
            <w:r w:rsidRPr="000F3E17">
              <w:rPr>
                <w:rFonts w:cs="Calibri"/>
                <w:color w:val="000000"/>
                <w:sz w:val="21"/>
              </w:rPr>
              <w:t>7</w:t>
            </w:r>
          </w:p>
        </w:tc>
        <w:tc>
          <w:tcPr>
            <w:tcW w:w="3050" w:type="pct"/>
          </w:tcPr>
          <w:p w14:paraId="3F4FDD26" w14:textId="43B45FD7" w:rsidR="000F3E17" w:rsidRPr="000F3E17" w:rsidRDefault="000F3E17" w:rsidP="000F3E17">
            <w:pPr>
              <w:pStyle w:val="FLBody"/>
              <w:spacing w:after="0" w:line="240" w:lineRule="auto"/>
              <w:rPr>
                <w:sz w:val="21"/>
                <w:lang w:val="en-GB"/>
              </w:rPr>
            </w:pPr>
            <w:r w:rsidRPr="000F3E17">
              <w:rPr>
                <w:rFonts w:cs="Calibri"/>
                <w:color w:val="000000"/>
                <w:sz w:val="21"/>
              </w:rPr>
              <w:t xml:space="preserve">Homeopathic and anthroposophic medicines </w:t>
            </w:r>
          </w:p>
        </w:tc>
        <w:tc>
          <w:tcPr>
            <w:tcW w:w="1144" w:type="pct"/>
          </w:tcPr>
          <w:p w14:paraId="75E3C62E" w14:textId="79CD81CC" w:rsidR="000F3E17" w:rsidRPr="000F3E17" w:rsidRDefault="000F3E17" w:rsidP="000F3E17">
            <w:pPr>
              <w:pStyle w:val="FLBody"/>
              <w:spacing w:after="0" w:line="240" w:lineRule="auto"/>
              <w:rPr>
                <w:sz w:val="21"/>
                <w:lang w:val="en-GB"/>
              </w:rPr>
            </w:pPr>
            <w:r w:rsidRPr="000F3E17">
              <w:rPr>
                <w:rFonts w:cs="Calibri"/>
                <w:color w:val="000000"/>
                <w:sz w:val="21"/>
              </w:rPr>
              <w:t xml:space="preserve">20 00 00 - 36 99 99 </w:t>
            </w:r>
          </w:p>
        </w:tc>
        <w:tc>
          <w:tcPr>
            <w:tcW w:w="516" w:type="pct"/>
          </w:tcPr>
          <w:p w14:paraId="3E36C893" w14:textId="5BF96A97" w:rsidR="000F3E17" w:rsidRPr="000F3E17" w:rsidRDefault="000F3E17" w:rsidP="000F3E17">
            <w:pPr>
              <w:pStyle w:val="FLBody"/>
              <w:spacing w:after="0" w:line="240" w:lineRule="auto"/>
              <w:rPr>
                <w:sz w:val="21"/>
                <w:lang w:val="en-GB"/>
              </w:rPr>
            </w:pPr>
            <w:r w:rsidRPr="000F3E17">
              <w:rPr>
                <w:rFonts w:cs="Calibri"/>
                <w:color w:val="000000"/>
                <w:sz w:val="21"/>
              </w:rPr>
              <w:t>National</w:t>
            </w:r>
          </w:p>
        </w:tc>
      </w:tr>
      <w:tr w:rsidR="000F3E17" w:rsidRPr="000F3E17" w14:paraId="6E71BC70" w14:textId="77777777" w:rsidTr="00777E11">
        <w:tc>
          <w:tcPr>
            <w:tcW w:w="290" w:type="pct"/>
            <w:shd w:val="clear" w:color="auto" w:fill="D9D9D9" w:themeFill="background1" w:themeFillShade="D9"/>
          </w:tcPr>
          <w:p w14:paraId="45546EB0" w14:textId="0A7B09E3" w:rsidR="000F3E17" w:rsidRPr="000F3E17" w:rsidRDefault="000F3E17" w:rsidP="000F3E17">
            <w:pPr>
              <w:pStyle w:val="FLBody"/>
              <w:spacing w:after="0" w:line="240" w:lineRule="auto"/>
              <w:rPr>
                <w:sz w:val="21"/>
                <w:lang w:val="en-GB"/>
              </w:rPr>
            </w:pPr>
            <w:r w:rsidRPr="000F3E17">
              <w:rPr>
                <w:rFonts w:cs="Calibri"/>
                <w:color w:val="000000"/>
                <w:sz w:val="21"/>
              </w:rPr>
              <w:t>8</w:t>
            </w:r>
          </w:p>
        </w:tc>
        <w:tc>
          <w:tcPr>
            <w:tcW w:w="3050" w:type="pct"/>
            <w:shd w:val="clear" w:color="auto" w:fill="D9D9D9" w:themeFill="background1" w:themeFillShade="D9"/>
          </w:tcPr>
          <w:p w14:paraId="5327395E" w14:textId="2D36F393" w:rsidR="000F3E17" w:rsidRPr="000F3E17" w:rsidRDefault="000F3E17" w:rsidP="000F3E17">
            <w:pPr>
              <w:pStyle w:val="FLBody"/>
              <w:spacing w:after="0" w:line="240" w:lineRule="auto"/>
              <w:rPr>
                <w:sz w:val="21"/>
                <w:lang w:val="en-GB"/>
              </w:rPr>
            </w:pPr>
            <w:r w:rsidRPr="000F3E17">
              <w:rPr>
                <w:rFonts w:cs="Calibri"/>
                <w:color w:val="000000"/>
                <w:sz w:val="21"/>
                <w:lang w:val="en-GB"/>
              </w:rPr>
              <w:t xml:space="preserve">Natural remedies and herbal medicinal products incl. traditional and well-established medicinal herbs </w:t>
            </w:r>
          </w:p>
        </w:tc>
        <w:tc>
          <w:tcPr>
            <w:tcW w:w="1144" w:type="pct"/>
            <w:shd w:val="clear" w:color="auto" w:fill="D9D9D9" w:themeFill="background1" w:themeFillShade="D9"/>
          </w:tcPr>
          <w:p w14:paraId="22D0A66A" w14:textId="302B2B64" w:rsidR="000F3E17" w:rsidRPr="000F3E17" w:rsidRDefault="000F3E17" w:rsidP="000F3E17">
            <w:pPr>
              <w:pStyle w:val="FLBody"/>
              <w:spacing w:after="0" w:line="240" w:lineRule="auto"/>
              <w:rPr>
                <w:sz w:val="21"/>
                <w:lang w:val="en-GB"/>
              </w:rPr>
            </w:pPr>
            <w:r w:rsidRPr="000F3E17">
              <w:rPr>
                <w:rFonts w:cs="Calibri"/>
                <w:color w:val="000000"/>
                <w:sz w:val="21"/>
              </w:rPr>
              <w:t xml:space="preserve">00 00 01 - 19 99 99 </w:t>
            </w:r>
            <w:r w:rsidRPr="000F3E17">
              <w:rPr>
                <w:rFonts w:cs="Calibri"/>
                <w:color w:val="000000"/>
                <w:sz w:val="21"/>
              </w:rPr>
              <w:br/>
              <w:t>37 00 00 - 59 99 99</w:t>
            </w:r>
          </w:p>
        </w:tc>
        <w:tc>
          <w:tcPr>
            <w:tcW w:w="516" w:type="pct"/>
            <w:shd w:val="clear" w:color="auto" w:fill="D9D9D9" w:themeFill="background1" w:themeFillShade="D9"/>
          </w:tcPr>
          <w:p w14:paraId="398CED20" w14:textId="032C5EC5" w:rsidR="000F3E17" w:rsidRPr="000F3E17" w:rsidRDefault="000F3E17" w:rsidP="000F3E17">
            <w:pPr>
              <w:pStyle w:val="FLBody"/>
              <w:spacing w:after="0" w:line="240" w:lineRule="auto"/>
              <w:rPr>
                <w:sz w:val="21"/>
                <w:lang w:val="en-GB"/>
              </w:rPr>
            </w:pPr>
            <w:r w:rsidRPr="000F3E17">
              <w:rPr>
                <w:rFonts w:cs="Calibri"/>
                <w:color w:val="000000"/>
                <w:sz w:val="21"/>
              </w:rPr>
              <w:t>Nordic</w:t>
            </w:r>
          </w:p>
        </w:tc>
      </w:tr>
      <w:tr w:rsidR="000F3E17" w:rsidRPr="000F3E17" w14:paraId="2EFD18DF" w14:textId="77777777" w:rsidTr="00777E11">
        <w:tc>
          <w:tcPr>
            <w:tcW w:w="290" w:type="pct"/>
          </w:tcPr>
          <w:p w14:paraId="30EDEEE7" w14:textId="583C4AF6" w:rsidR="000F3E17" w:rsidRPr="000F3E17" w:rsidRDefault="000F3E17" w:rsidP="000F3E17">
            <w:pPr>
              <w:pStyle w:val="FLBody"/>
              <w:spacing w:after="0" w:line="240" w:lineRule="auto"/>
              <w:rPr>
                <w:sz w:val="21"/>
                <w:lang w:val="en-GB"/>
              </w:rPr>
            </w:pPr>
            <w:r w:rsidRPr="000F3E17">
              <w:rPr>
                <w:rFonts w:cs="Calibri"/>
                <w:color w:val="000000"/>
                <w:sz w:val="21"/>
              </w:rPr>
              <w:t>9</w:t>
            </w:r>
          </w:p>
        </w:tc>
        <w:tc>
          <w:tcPr>
            <w:tcW w:w="3050" w:type="pct"/>
          </w:tcPr>
          <w:p w14:paraId="32F2E511" w14:textId="1C149D55" w:rsidR="000F3E17" w:rsidRPr="000F3E17" w:rsidRDefault="000F3E17" w:rsidP="000F3E17">
            <w:pPr>
              <w:pStyle w:val="FLBody"/>
              <w:spacing w:after="0" w:line="240" w:lineRule="auto"/>
              <w:rPr>
                <w:sz w:val="21"/>
                <w:lang w:val="en-GB"/>
              </w:rPr>
            </w:pPr>
            <w:r w:rsidRPr="000F3E17">
              <w:rPr>
                <w:rFonts w:cs="Calibri"/>
                <w:color w:val="000000"/>
                <w:sz w:val="21"/>
                <w:lang w:val="en-GB"/>
              </w:rPr>
              <w:t xml:space="preserve">Miscellaneous incl. work rates, packaging, publications, supplies </w:t>
            </w:r>
          </w:p>
        </w:tc>
        <w:tc>
          <w:tcPr>
            <w:tcW w:w="1144" w:type="pct"/>
          </w:tcPr>
          <w:p w14:paraId="2B4A8C27" w14:textId="5DE487D0" w:rsidR="000F3E17" w:rsidRPr="000F3E17" w:rsidRDefault="000F3E17" w:rsidP="000F3E17">
            <w:pPr>
              <w:pStyle w:val="FLBody"/>
              <w:spacing w:after="0" w:line="240" w:lineRule="auto"/>
              <w:rPr>
                <w:sz w:val="21"/>
                <w:lang w:val="en-GB"/>
              </w:rPr>
            </w:pPr>
            <w:r w:rsidRPr="000F3E17">
              <w:rPr>
                <w:rFonts w:cs="Calibri"/>
                <w:color w:val="000000"/>
                <w:sz w:val="21"/>
              </w:rPr>
              <w:t xml:space="preserve">20 00 00 - 36 99 99 </w:t>
            </w:r>
          </w:p>
        </w:tc>
        <w:tc>
          <w:tcPr>
            <w:tcW w:w="516" w:type="pct"/>
          </w:tcPr>
          <w:p w14:paraId="65EF78E0" w14:textId="233B30C6" w:rsidR="000F3E17" w:rsidRPr="000F3E17" w:rsidRDefault="000F3E17" w:rsidP="000F3E17">
            <w:pPr>
              <w:pStyle w:val="FLBody"/>
              <w:spacing w:after="0" w:line="240" w:lineRule="auto"/>
              <w:rPr>
                <w:sz w:val="21"/>
                <w:lang w:val="en-GB"/>
              </w:rPr>
            </w:pPr>
            <w:r w:rsidRPr="000F3E17">
              <w:rPr>
                <w:rFonts w:cs="Calibri"/>
                <w:color w:val="000000"/>
                <w:sz w:val="21"/>
              </w:rPr>
              <w:t>National</w:t>
            </w:r>
          </w:p>
        </w:tc>
      </w:tr>
    </w:tbl>
    <w:p w14:paraId="26C98A70" w14:textId="77777777" w:rsidR="000F3E17" w:rsidRDefault="000F3E17" w:rsidP="00E10F1C">
      <w:pPr>
        <w:pStyle w:val="FLBody"/>
        <w:rPr>
          <w:lang w:val="en-GB"/>
        </w:rPr>
      </w:pPr>
    </w:p>
    <w:p w14:paraId="173177AA" w14:textId="6C1FCA0C" w:rsidR="00E10F1C" w:rsidRDefault="00E10F1C" w:rsidP="00E10F1C">
      <w:pPr>
        <w:pStyle w:val="FLBody"/>
        <w:rPr>
          <w:lang w:val="en-GB"/>
        </w:rPr>
      </w:pPr>
      <w:r w:rsidRPr="000F3E17">
        <w:rPr>
          <w:i/>
          <w:iCs/>
          <w:lang w:val="en-GB"/>
        </w:rPr>
        <w:t>Nordic article numbers</w:t>
      </w:r>
      <w:r w:rsidRPr="00E10F1C">
        <w:rPr>
          <w:lang w:val="en-GB"/>
        </w:rPr>
        <w:t xml:space="preserve"> are assigned by </w:t>
      </w:r>
      <w:r w:rsidR="00777E11">
        <w:rPr>
          <w:lang w:val="en-GB"/>
        </w:rPr>
        <w:t>Pharmaca</w:t>
      </w:r>
      <w:r w:rsidRPr="00E10F1C">
        <w:rPr>
          <w:lang w:val="en-GB"/>
        </w:rPr>
        <w:t xml:space="preserve"> for products with marketing authorisation</w:t>
      </w:r>
      <w:r w:rsidR="00777E11">
        <w:rPr>
          <w:lang w:val="en-GB"/>
        </w:rPr>
        <w:t xml:space="preserve"> (product group 1 and 8)</w:t>
      </w:r>
      <w:r w:rsidRPr="00E10F1C">
        <w:rPr>
          <w:lang w:val="en-GB"/>
        </w:rPr>
        <w:t>.</w:t>
      </w:r>
    </w:p>
    <w:p w14:paraId="3555B7B2" w14:textId="3D739BEC" w:rsidR="00E10F1C" w:rsidRPr="00E10F1C" w:rsidRDefault="00E10F1C" w:rsidP="00E10F1C">
      <w:pPr>
        <w:pStyle w:val="FLBody"/>
        <w:rPr>
          <w:lang w:val="en-GB"/>
        </w:rPr>
      </w:pPr>
      <w:r w:rsidRPr="000F3E17">
        <w:rPr>
          <w:i/>
          <w:iCs/>
          <w:lang w:val="en-GB"/>
        </w:rPr>
        <w:t xml:space="preserve">National article numbers </w:t>
      </w:r>
      <w:r w:rsidRPr="00E10F1C">
        <w:rPr>
          <w:lang w:val="en-GB"/>
        </w:rPr>
        <w:t>are assigned by Farmalogg. Assigned article numbers are the property of Farmalogg AS. The national article numbers are meant for use in Norway only.</w:t>
      </w:r>
    </w:p>
    <w:sectPr w:rsidR="00E10F1C" w:rsidRPr="00E10F1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A0228" w14:textId="77777777" w:rsidR="00E10F1C" w:rsidRDefault="00E10F1C" w:rsidP="00E10F1C">
      <w:pPr>
        <w:spacing w:after="0" w:line="240" w:lineRule="auto"/>
      </w:pPr>
      <w:r>
        <w:separator/>
      </w:r>
    </w:p>
  </w:endnote>
  <w:endnote w:type="continuationSeparator" w:id="0">
    <w:p w14:paraId="3576A424" w14:textId="77777777" w:rsidR="00E10F1C" w:rsidRDefault="00E10F1C" w:rsidP="00E10F1C">
      <w:pPr>
        <w:spacing w:after="0" w:line="240" w:lineRule="auto"/>
      </w:pPr>
      <w:r>
        <w:continuationSeparator/>
      </w:r>
    </w:p>
  </w:endnote>
  <w:endnote w:type="continuationNotice" w:id="1">
    <w:p w14:paraId="5D13E6B9" w14:textId="77777777" w:rsidR="009121CB" w:rsidRDefault="00912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72344" w14:textId="16CB254F" w:rsidR="00E10F1C" w:rsidRPr="00E10F1C" w:rsidRDefault="00E10F1C" w:rsidP="00E10F1C">
    <w:pPr>
      <w:pStyle w:val="Footer"/>
      <w:jc w:val="cente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3033"/>
      <w:gridCol w:w="3025"/>
    </w:tblGrid>
    <w:tr w:rsidR="00E10F1C" w:rsidRPr="00E10F1C" w14:paraId="22CB3F01" w14:textId="77777777" w:rsidTr="00E10F1C">
      <w:tc>
        <w:tcPr>
          <w:tcW w:w="3070" w:type="dxa"/>
        </w:tcPr>
        <w:p w14:paraId="202E118C" w14:textId="77777777" w:rsidR="00E10F1C" w:rsidRPr="00E10F1C" w:rsidRDefault="00E10F1C" w:rsidP="00E10F1C">
          <w:pPr>
            <w:pStyle w:val="Footer"/>
            <w:jc w:val="center"/>
            <w:rPr>
              <w:rFonts w:asciiTheme="minorHAnsi" w:hAnsiTheme="minorHAnsi" w:cstheme="minorHAnsi"/>
            </w:rPr>
          </w:pPr>
        </w:p>
      </w:tc>
      <w:tc>
        <w:tcPr>
          <w:tcW w:w="3071" w:type="dxa"/>
        </w:tcPr>
        <w:p w14:paraId="2263F02B" w14:textId="77775573" w:rsidR="00E10F1C" w:rsidRPr="00E10F1C" w:rsidRDefault="00E10F1C" w:rsidP="00E10F1C">
          <w:pPr>
            <w:pStyle w:val="Footer"/>
            <w:jc w:val="center"/>
            <w:rPr>
              <w:rFonts w:asciiTheme="minorHAnsi" w:hAnsiTheme="minorHAnsi" w:cstheme="minorHAnsi"/>
            </w:rPr>
          </w:pPr>
          <w:r w:rsidRPr="00E10F1C">
            <w:rPr>
              <w:rFonts w:asciiTheme="minorHAnsi" w:hAnsiTheme="minorHAnsi" w:cstheme="minorHAnsi"/>
            </w:rPr>
            <w:t>Farmalogg AS</w:t>
          </w:r>
        </w:p>
      </w:tc>
      <w:tc>
        <w:tcPr>
          <w:tcW w:w="3071" w:type="dxa"/>
        </w:tcPr>
        <w:p w14:paraId="6F015FF5" w14:textId="3D9EF934" w:rsidR="00E10F1C" w:rsidRPr="00E10F1C" w:rsidRDefault="00E10F1C" w:rsidP="00E10F1C">
          <w:pPr>
            <w:pStyle w:val="Footer"/>
            <w:jc w:val="right"/>
            <w:rPr>
              <w:rFonts w:asciiTheme="minorHAnsi" w:hAnsiTheme="minorHAnsi" w:cstheme="minorHAnsi"/>
            </w:rPr>
          </w:pPr>
          <w:r w:rsidRPr="00E10F1C">
            <w:rPr>
              <w:rFonts w:asciiTheme="minorHAnsi" w:hAnsiTheme="minorHAnsi" w:cstheme="minorHAnsi"/>
            </w:rPr>
            <w:t>2024-04-24</w:t>
          </w:r>
        </w:p>
      </w:tc>
    </w:tr>
  </w:tbl>
  <w:p w14:paraId="2C4B4724" w14:textId="2B1413C4" w:rsidR="00E10F1C" w:rsidRPr="00E10F1C" w:rsidRDefault="00E10F1C" w:rsidP="00E10F1C">
    <w:pPr>
      <w:pStyle w:val="Footer"/>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0A160" w14:textId="77777777" w:rsidR="00E10F1C" w:rsidRDefault="00E10F1C" w:rsidP="00E10F1C">
      <w:pPr>
        <w:spacing w:after="0" w:line="240" w:lineRule="auto"/>
      </w:pPr>
      <w:r>
        <w:separator/>
      </w:r>
    </w:p>
  </w:footnote>
  <w:footnote w:type="continuationSeparator" w:id="0">
    <w:p w14:paraId="14A01C36" w14:textId="77777777" w:rsidR="00E10F1C" w:rsidRDefault="00E10F1C" w:rsidP="00E10F1C">
      <w:pPr>
        <w:spacing w:after="0" w:line="240" w:lineRule="auto"/>
      </w:pPr>
      <w:r>
        <w:continuationSeparator/>
      </w:r>
    </w:p>
  </w:footnote>
  <w:footnote w:type="continuationNotice" w:id="1">
    <w:p w14:paraId="1AB18AF7" w14:textId="77777777" w:rsidR="009121CB" w:rsidRDefault="009121C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1C"/>
    <w:rsid w:val="00047173"/>
    <w:rsid w:val="0005328A"/>
    <w:rsid w:val="00082F87"/>
    <w:rsid w:val="000F3E17"/>
    <w:rsid w:val="0039699F"/>
    <w:rsid w:val="00494B09"/>
    <w:rsid w:val="005D567D"/>
    <w:rsid w:val="006D733E"/>
    <w:rsid w:val="00777E11"/>
    <w:rsid w:val="007C79EA"/>
    <w:rsid w:val="007F60B1"/>
    <w:rsid w:val="008A600C"/>
    <w:rsid w:val="009121CB"/>
    <w:rsid w:val="009B3E9B"/>
    <w:rsid w:val="00A10945"/>
    <w:rsid w:val="00A83383"/>
    <w:rsid w:val="00BB1C80"/>
    <w:rsid w:val="00C0366C"/>
    <w:rsid w:val="00C405A9"/>
    <w:rsid w:val="00E10F1C"/>
    <w:rsid w:val="00E70345"/>
    <w:rsid w:val="00F56E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BCCA"/>
  <w15:chartTrackingRefBased/>
  <w15:docId w15:val="{C5E58FBB-7425-45F3-83C9-FE7FB47E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kern w:val="2"/>
        <w:sz w:val="21"/>
        <w:szCs w:val="21"/>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Body">
    <w:name w:val="FL Body"/>
    <w:basedOn w:val="NoSpacing"/>
    <w:link w:val="FLBodyTegn"/>
    <w:qFormat/>
    <w:rsid w:val="007F60B1"/>
    <w:pPr>
      <w:spacing w:after="240" w:line="300" w:lineRule="auto"/>
    </w:pPr>
    <w:rPr>
      <w:rFonts w:ascii="Calibri" w:hAnsi="Calibri" w:cs="Times New Roman"/>
      <w:sz w:val="22"/>
    </w:rPr>
  </w:style>
  <w:style w:type="character" w:customStyle="1" w:styleId="FLBodyTegn">
    <w:name w:val="FL Body Tegn"/>
    <w:basedOn w:val="DefaultParagraphFont"/>
    <w:link w:val="FLBody"/>
    <w:rsid w:val="007F60B1"/>
    <w:rPr>
      <w:rFonts w:ascii="Calibri" w:hAnsi="Calibri" w:cs="Times New Roman"/>
      <w:sz w:val="22"/>
    </w:rPr>
  </w:style>
  <w:style w:type="paragraph" w:styleId="NoSpacing">
    <w:name w:val="No Spacing"/>
    <w:uiPriority w:val="1"/>
    <w:qFormat/>
    <w:rsid w:val="00E70345"/>
    <w:pPr>
      <w:spacing w:after="0" w:line="240" w:lineRule="auto"/>
    </w:pPr>
  </w:style>
  <w:style w:type="paragraph" w:customStyle="1" w:styleId="FLOverskrift2">
    <w:name w:val="FL Overskrift 2"/>
    <w:basedOn w:val="NoSpacing"/>
    <w:next w:val="FLBody"/>
    <w:link w:val="FLOverskrift2Tegn"/>
    <w:qFormat/>
    <w:rsid w:val="007F60B1"/>
    <w:pPr>
      <w:spacing w:before="360" w:after="120" w:line="300" w:lineRule="auto"/>
      <w:outlineLvl w:val="1"/>
    </w:pPr>
    <w:rPr>
      <w:rFonts w:ascii="Calibri" w:hAnsi="Calibri" w:cs="Times New Roman"/>
      <w:b/>
      <w:sz w:val="24"/>
    </w:rPr>
  </w:style>
  <w:style w:type="character" w:customStyle="1" w:styleId="FLOverskrift2Tegn">
    <w:name w:val="FL Overskrift 2 Tegn"/>
    <w:basedOn w:val="DefaultParagraphFont"/>
    <w:link w:val="FLOverskrift2"/>
    <w:rsid w:val="007F60B1"/>
    <w:rPr>
      <w:rFonts w:ascii="Calibri" w:hAnsi="Calibri" w:cs="Times New Roman"/>
      <w:b/>
      <w:sz w:val="24"/>
    </w:rPr>
  </w:style>
  <w:style w:type="paragraph" w:customStyle="1" w:styleId="FLOverskrift1">
    <w:name w:val="FL Overskrift1"/>
    <w:basedOn w:val="NoSpacing"/>
    <w:link w:val="FLOverskrift1Tegn"/>
    <w:qFormat/>
    <w:rsid w:val="007F60B1"/>
    <w:pPr>
      <w:spacing w:after="160" w:line="300" w:lineRule="auto"/>
      <w:outlineLvl w:val="0"/>
    </w:pPr>
    <w:rPr>
      <w:rFonts w:ascii="Calibri" w:hAnsi="Calibri"/>
      <w:b/>
      <w:sz w:val="28"/>
      <w:lang w:eastAsia="nb-NO"/>
    </w:rPr>
  </w:style>
  <w:style w:type="character" w:customStyle="1" w:styleId="FLOverskrift1Tegn">
    <w:name w:val="FL Overskrift1 Tegn"/>
    <w:basedOn w:val="DefaultParagraphFont"/>
    <w:link w:val="FLOverskrift1"/>
    <w:rsid w:val="007F60B1"/>
    <w:rPr>
      <w:rFonts w:ascii="Calibri" w:hAnsi="Calibri"/>
      <w:b/>
      <w:sz w:val="28"/>
      <w:lang w:eastAsia="nb-NO"/>
    </w:rPr>
  </w:style>
  <w:style w:type="paragraph" w:customStyle="1" w:styleId="FLOverskrift3">
    <w:name w:val="FL Overskrift3"/>
    <w:basedOn w:val="FLBody"/>
    <w:next w:val="FLBody"/>
    <w:link w:val="FLOverskrift3Tegn"/>
    <w:qFormat/>
    <w:rsid w:val="00E70345"/>
    <w:pPr>
      <w:outlineLvl w:val="2"/>
    </w:pPr>
    <w:rPr>
      <w:i/>
      <w:u w:val="single"/>
    </w:rPr>
  </w:style>
  <w:style w:type="character" w:customStyle="1" w:styleId="FLOverskrift3Tegn">
    <w:name w:val="FL Overskrift3 Tegn"/>
    <w:basedOn w:val="FLBodyTegn"/>
    <w:link w:val="FLOverskrift3"/>
    <w:rsid w:val="00E70345"/>
    <w:rPr>
      <w:rFonts w:ascii="Calibri" w:hAnsi="Calibri" w:cs="Times New Roman"/>
      <w:i/>
      <w:sz w:val="22"/>
      <w:u w:val="single"/>
    </w:rPr>
  </w:style>
  <w:style w:type="paragraph" w:customStyle="1" w:styleId="FLOverskrift10">
    <w:name w:val="FL Overskrift 1"/>
    <w:basedOn w:val="NoSpacing"/>
    <w:link w:val="FLOverskrift1Tegn0"/>
    <w:qFormat/>
    <w:rsid w:val="007F60B1"/>
    <w:pPr>
      <w:spacing w:after="160" w:line="300" w:lineRule="auto"/>
      <w:outlineLvl w:val="0"/>
    </w:pPr>
    <w:rPr>
      <w:rFonts w:ascii="Calibri" w:hAnsi="Calibri"/>
      <w:b/>
      <w:sz w:val="28"/>
      <w:lang w:eastAsia="nb-NO"/>
    </w:rPr>
  </w:style>
  <w:style w:type="character" w:customStyle="1" w:styleId="FLOverskrift1Tegn0">
    <w:name w:val="FL Overskrift 1 Tegn"/>
    <w:basedOn w:val="DefaultParagraphFont"/>
    <w:link w:val="FLOverskrift10"/>
    <w:rsid w:val="007F60B1"/>
    <w:rPr>
      <w:rFonts w:ascii="Calibri" w:hAnsi="Calibri"/>
      <w:b/>
      <w:sz w:val="28"/>
      <w:lang w:eastAsia="nb-NO"/>
    </w:rPr>
  </w:style>
  <w:style w:type="paragraph" w:customStyle="1" w:styleId="FLOverskrift30">
    <w:name w:val="FL Overskrift 3"/>
    <w:basedOn w:val="FLBody"/>
    <w:next w:val="FLBody"/>
    <w:link w:val="FLOverskrift3Tegn0"/>
    <w:qFormat/>
    <w:rsid w:val="007F60B1"/>
    <w:pPr>
      <w:spacing w:before="240"/>
      <w:outlineLvl w:val="2"/>
    </w:pPr>
    <w:rPr>
      <w:b/>
      <w:i/>
    </w:rPr>
  </w:style>
  <w:style w:type="character" w:customStyle="1" w:styleId="FLOverskrift3Tegn0">
    <w:name w:val="FL Overskrift 3 Tegn"/>
    <w:basedOn w:val="FLBodyTegn"/>
    <w:link w:val="FLOverskrift30"/>
    <w:rsid w:val="007F60B1"/>
    <w:rPr>
      <w:rFonts w:ascii="Calibri" w:hAnsi="Calibri" w:cs="Times New Roman"/>
      <w:b/>
      <w:i/>
      <w:sz w:val="22"/>
    </w:rPr>
  </w:style>
  <w:style w:type="paragraph" w:customStyle="1" w:styleId="FLOverskrift4">
    <w:name w:val="FL Overskrift 4"/>
    <w:basedOn w:val="FLOverskrift30"/>
    <w:link w:val="FLOverskrift4Tegn"/>
    <w:qFormat/>
    <w:rsid w:val="007F60B1"/>
    <w:pPr>
      <w:spacing w:before="120" w:after="120" w:line="276" w:lineRule="auto"/>
      <w:outlineLvl w:val="3"/>
    </w:pPr>
    <w:rPr>
      <w:b w:val="0"/>
      <w:u w:val="single"/>
    </w:rPr>
  </w:style>
  <w:style w:type="character" w:customStyle="1" w:styleId="FLOverskrift4Tegn">
    <w:name w:val="FL Overskrift 4 Tegn"/>
    <w:basedOn w:val="FLOverskrift3Tegn0"/>
    <w:link w:val="FLOverskrift4"/>
    <w:rsid w:val="007F60B1"/>
    <w:rPr>
      <w:rFonts w:ascii="Calibri" w:hAnsi="Calibri" w:cs="Times New Roman"/>
      <w:b w:val="0"/>
      <w:i/>
      <w:sz w:val="22"/>
      <w:u w:val="single"/>
    </w:rPr>
  </w:style>
  <w:style w:type="paragraph" w:styleId="Header">
    <w:name w:val="header"/>
    <w:basedOn w:val="Normal"/>
    <w:link w:val="HeaderChar"/>
    <w:uiPriority w:val="99"/>
    <w:unhideWhenUsed/>
    <w:rsid w:val="00E10F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0F1C"/>
  </w:style>
  <w:style w:type="paragraph" w:styleId="Footer">
    <w:name w:val="footer"/>
    <w:basedOn w:val="Normal"/>
    <w:link w:val="FooterChar"/>
    <w:uiPriority w:val="99"/>
    <w:unhideWhenUsed/>
    <w:rsid w:val="00E10F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0F1C"/>
  </w:style>
  <w:style w:type="table" w:styleId="TableGrid">
    <w:name w:val="Table Grid"/>
    <w:basedOn w:val="TableNormal"/>
    <w:uiPriority w:val="39"/>
    <w:rsid w:val="00E1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0F1C"/>
    <w:rPr>
      <w:color w:val="0563C1" w:themeColor="hyperlink"/>
      <w:u w:val="single"/>
    </w:rPr>
  </w:style>
  <w:style w:type="character" w:styleId="UnresolvedMention">
    <w:name w:val="Unresolved Mention"/>
    <w:basedOn w:val="DefaultParagraphFont"/>
    <w:uiPriority w:val="99"/>
    <w:semiHidden/>
    <w:unhideWhenUsed/>
    <w:rsid w:val="00E10F1C"/>
    <w:rPr>
      <w:color w:val="605E5C"/>
      <w:shd w:val="clear" w:color="auto" w:fill="E1DFDD"/>
    </w:rPr>
  </w:style>
  <w:style w:type="paragraph" w:styleId="Caption">
    <w:name w:val="caption"/>
    <w:basedOn w:val="Normal"/>
    <w:next w:val="Normal"/>
    <w:uiPriority w:val="35"/>
    <w:unhideWhenUsed/>
    <w:qFormat/>
    <w:rsid w:val="006D733E"/>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0532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vnr.fi/?page_id=1671" TargetMode="External"/><Relationship Id="rId5" Type="http://schemas.openxmlformats.org/officeDocument/2006/relationships/settings" Target="settings.xml"/><Relationship Id="rId10" Type="http://schemas.openxmlformats.org/officeDocument/2006/relationships/hyperlink" Target="https://www.farmalogg.no/en/industry-standard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38199EA63C18B4DABEA9982324CCB06" ma:contentTypeVersion="12" ma:contentTypeDescription="Luo uusi asiakirja." ma:contentTypeScope="" ma:versionID="3134be84fd007d481264c00ab2fb3d29">
  <xsd:schema xmlns:xsd="http://www.w3.org/2001/XMLSchema" xmlns:xs="http://www.w3.org/2001/XMLSchema" xmlns:p="http://schemas.microsoft.com/office/2006/metadata/properties" xmlns:ns2="aa7761c8-ab7c-4194-99f2-a38a432ba702" xmlns:ns3="a0fe3723-ba01-4595-ac9f-ac0b3f7732bc" targetNamespace="http://schemas.microsoft.com/office/2006/metadata/properties" ma:root="true" ma:fieldsID="dd7052a91a609cccd39ab11053b6fcf1" ns2:_="" ns3:_="">
    <xsd:import namespace="aa7761c8-ab7c-4194-99f2-a38a432ba702"/>
    <xsd:import namespace="a0fe3723-ba01-4595-ac9f-ac0b3f7732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761c8-ab7c-4194-99f2-a38a432ba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Kuvien tunnisteet" ma:readOnly="false" ma:fieldId="{5cf76f15-5ced-4ddc-b409-7134ff3c332f}" ma:taxonomyMulti="true" ma:sspId="8d74c41e-593d-4e6b-a180-8c32fdcc9d1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e3723-ba01-4595-ac9f-ac0b3f7732bc"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7761c8-ab7c-4194-99f2-a38a432ba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42DE8F-F0D2-426E-B82A-2595044815B5}"/>
</file>

<file path=customXml/itemProps2.xml><?xml version="1.0" encoding="utf-8"?>
<ds:datastoreItem xmlns:ds="http://schemas.openxmlformats.org/officeDocument/2006/customXml" ds:itemID="{8F4A0C5E-4FBD-4E9F-9925-277BFBE8E210}">
  <ds:schemaRefs>
    <ds:schemaRef ds:uri="http://schemas.microsoft.com/sharepoint/v3/contenttype/forms"/>
  </ds:schemaRefs>
</ds:datastoreItem>
</file>

<file path=customXml/itemProps3.xml><?xml version="1.0" encoding="utf-8"?>
<ds:datastoreItem xmlns:ds="http://schemas.openxmlformats.org/officeDocument/2006/customXml" ds:itemID="{37B04421-80FC-4A1A-BB65-122151D8FFBB}">
  <ds:schemaRefs>
    <ds:schemaRef ds:uri="http://schemas.microsoft.com/office/2006/metadata/properties"/>
    <ds:schemaRef ds:uri="http://schemas.microsoft.com/office/infopath/2007/PartnerControls"/>
    <ds:schemaRef ds:uri="38617f60-4c9b-423b-b3fd-7f318fd389d0"/>
    <ds:schemaRef ds:uri="21552f2d-a4ca-4753-ac3f-8ba0f5eefb2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6744</Characters>
  <Application>Microsoft Office Word</Application>
  <DocSecurity>4</DocSecurity>
  <Lines>56</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Sindre Tønnessen Tokheim</dc:creator>
  <cp:keywords/>
  <dc:description/>
  <cp:lastModifiedBy>Hednäs Pia</cp:lastModifiedBy>
  <cp:revision>2</cp:revision>
  <dcterms:created xsi:type="dcterms:W3CDTF">2024-06-14T10:00:00Z</dcterms:created>
  <dcterms:modified xsi:type="dcterms:W3CDTF">2024-06-14T10:00:00Z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0x010100838199EA63C18B4DABEA9982324CCB06</vt:lpwstr>
  </property>
  <property fmtid="{D5CDD505-2E9C-101B-9397-08002B2CF9AE}" pid="3" name="MediaServiceImageTags">
    <vt:lpwstr/>
  </property>
</Properties>
</file>